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rPr>
          <w:highlight w:val="none"/>
        </w:rPr>
      </w: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rPr>
          <w:highlight w:val="none"/>
        </w:rPr>
      </w:r>
      <w:r/>
    </w:p>
    <w:p>
      <w:pPr>
        <w:jc w:val="center"/>
        <w:spacing w:before="120" w:after="120"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b w:val="0"/>
          <w:bCs w:val="0"/>
          <w:color w:val="000000" w:themeColor="text1"/>
          <w:sz w:val="32"/>
          <w:szCs w:val="24"/>
          <w:highlight w:val="none"/>
          <w:lang w:eastAsia="zh-CN"/>
          <w14:textFill>
            <w14:solidFill>
              <w14:schemeClr w14:val="tx1"/>
            </w14:solidFill>
          </w14:textFill>
        </w:rPr>
        <w:t xml:space="preserve">江苏省南通中学AI创新教室采购项目（</w:t>
      </w:r>
      <w:r>
        <w:rPr>
          <w:rFonts w:hint="eastAsia" w:ascii="Arial" w:hAnsi="Arial"/>
          <w:b w:val="0"/>
          <w:bCs w:val="0"/>
          <w:color w:val="000000" w:themeColor="text1"/>
          <w:sz w:val="32"/>
          <w:szCs w:val="24"/>
          <w:highlight w:val="none"/>
          <w:lang w:val="en-US" w:eastAsia="zh-CN"/>
          <w14:textFill>
            <w14:solidFill>
              <w14:schemeClr w14:val="tx1"/>
            </w14:solidFill>
          </w14:textFill>
        </w:rPr>
        <w:t xml:space="preserve">二次</w:t>
      </w:r>
      <w:r>
        <w:rPr>
          <w:rFonts w:hint="eastAsia" w:ascii="Arial" w:hAnsi="Arial"/>
          <w:b w:val="0"/>
          <w:bCs w:val="0"/>
          <w:color w:val="000000" w:themeColor="text1"/>
          <w:sz w:val="32"/>
          <w:szCs w:val="24"/>
          <w:highlight w:val="none"/>
          <w:lang w:eastAsia="zh-CN"/>
          <w14:textFill>
            <w14:solidFill>
              <w14:schemeClr w14:val="tx1"/>
            </w14:solidFill>
          </w14:textFill>
        </w:rPr>
        <w:t xml:space="preserve">）</w:t>
      </w:r>
      <w:r>
        <w:rPr>
          <w:highlight w:val="none"/>
        </w:rPr>
      </w:r>
      <w:r/>
    </w:p>
    <w:p>
      <w:pPr>
        <w:jc w:val="left"/>
        <w:spacing w:before="120" w:after="120" w:line="360" w:lineRule="auto"/>
        <w:rPr>
          <w:rFonts w:hint="eastAsia"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r>
      <w:r>
        <w:rPr>
          <w:highlight w:val="none"/>
        </w:rPr>
      </w:r>
      <w:r/>
    </w:p>
    <w:p>
      <w:pPr>
        <w:jc w:val="center"/>
        <w:spacing w:line="1000" w:lineRule="exact"/>
        <w:rPr>
          <w:rFonts w:hint="default"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JSZC-320600-JZCG-G2025-0</w:t>
      </w:r>
      <w:r>
        <w:rPr>
          <w:rFonts w:hint="eastAsia" w:ascii="宋体" w:hAnsi="宋体" w:cs="宋体"/>
          <w:color w:val="000000" w:themeColor="text1"/>
          <w:sz w:val="32"/>
          <w:szCs w:val="32"/>
          <w:highlight w:val="none"/>
          <w:lang w:val="en-US" w:eastAsia="zh-CN"/>
          <w14:textFill>
            <w14:solidFill>
              <w14:schemeClr w14:val="tx1"/>
            </w14:solidFill>
          </w14:textFill>
        </w:rPr>
        <w:t xml:space="preserve">227</w:t>
      </w:r>
      <w:r>
        <w:rPr>
          <w:highlight w:val="none"/>
        </w:rPr>
      </w:r>
      <w:r/>
    </w:p>
    <w:p>
      <w:pPr>
        <w:ind w:left="3012" w:hanging="3012"/>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pStyle w:val="995"/>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r/>
    </w:p>
    <w:p>
      <w:pPr>
        <w:pStyle w:val="995"/>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r/>
    </w:p>
    <w:p>
      <w:pPr>
        <w:pStyle w:val="995"/>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r/>
    </w:p>
    <w:p>
      <w:pPr>
        <w:ind w:firstLine="2720"/>
        <w:spacing w:line="360" w:lineRule="auto"/>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 xml:space="preserve">南通市教育技术中心</w:t>
      </w:r>
      <w:r>
        <w:rPr>
          <w:highlight w:val="none"/>
        </w:rPr>
      </w:r>
      <w:r/>
    </w:p>
    <w:p>
      <w:pPr>
        <w:jc w:val="center"/>
        <w:spacing w:before="120" w:after="120" w:line="360" w:lineRule="auto"/>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 xml:space="preserve">202</w:t>
      </w:r>
      <w:r>
        <w:rPr>
          <w:rFonts w:hint="eastAsia" w:ascii="Arial" w:hAnsi="Arial"/>
          <w:bCs/>
          <w:color w:val="000000" w:themeColor="text1"/>
          <w:sz w:val="32"/>
          <w:szCs w:val="24"/>
          <w:highlight w:val="none"/>
          <w:lang w:val="en-US" w:eastAsia="zh-CN"/>
          <w14:textFill>
            <w14:solidFill>
              <w14:schemeClr w14:val="tx1"/>
            </w14:solidFill>
          </w14:textFill>
        </w:rPr>
        <w:t xml:space="preserve">5</w:t>
      </w:r>
      <w:r>
        <w:rPr>
          <w:rFonts w:hint="eastAsia" w:ascii="Arial" w:hAnsi="Arial"/>
          <w:bCs/>
          <w:color w:val="000000" w:themeColor="text1"/>
          <w:sz w:val="32"/>
          <w:szCs w:val="24"/>
          <w:highlight w:val="none"/>
          <w14:textFill>
            <w14:solidFill>
              <w14:schemeClr w14:val="tx1"/>
            </w14:solidFill>
          </w14:textFill>
        </w:rPr>
        <w:t xml:space="preserve">年</w:t>
      </w:r>
      <w:r>
        <w:rPr>
          <w:rFonts w:hint="eastAsia" w:ascii="Arial" w:hAnsi="Arial"/>
          <w:bCs/>
          <w:color w:val="000000" w:themeColor="text1"/>
          <w:sz w:val="32"/>
          <w:szCs w:val="24"/>
          <w:highlight w:val="none"/>
          <w:lang w:val="en-US" w:eastAsia="zh-CN"/>
          <w14:textFill>
            <w14:solidFill>
              <w14:schemeClr w14:val="tx1"/>
            </w14:solidFill>
          </w14:textFill>
        </w:rPr>
        <w:t xml:space="preserve">12</w:t>
      </w:r>
      <w:r>
        <w:rPr>
          <w:rFonts w:hint="eastAsia" w:ascii="Arial" w:hAnsi="Arial"/>
          <w:bCs/>
          <w:color w:val="000000" w:themeColor="text1"/>
          <w:sz w:val="32"/>
          <w:szCs w:val="24"/>
          <w:highlight w:val="none"/>
          <w14:textFill>
            <w14:solidFill>
              <w14:schemeClr w14:val="tx1"/>
            </w14:solidFill>
          </w14:textFill>
        </w:rPr>
        <w:t xml:space="preserve">月</w:t>
      </w:r>
      <w:r>
        <w:rPr>
          <w:highlight w:val="none"/>
        </w:rPr>
      </w: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rPr>
          <w:highlight w:val="none"/>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0" w:name="_Toc120614210"/>
      <w:r>
        <w:rPr>
          <w:highlight w:val="none"/>
        </w:rPr>
      </w:r>
      <w:bookmarkStart w:id="1" w:name="_Toc20823272"/>
      <w:r>
        <w:rPr>
          <w:highlight w:val="none"/>
        </w:rPr>
      </w:r>
      <w:bookmarkStart w:id="2" w:name="_Toc523127445"/>
      <w:r>
        <w:rPr>
          <w:highlight w:val="none"/>
        </w:rPr>
      </w:r>
      <w:bookmarkStart w:id="3" w:name="_Toc479757206"/>
      <w:r>
        <w:rPr>
          <w:highlight w:val="none"/>
        </w:rPr>
      </w:r>
      <w:bookmarkStart w:id="4" w:name="_Toc16938516"/>
      <w:r>
        <w:rPr>
          <w:highlight w:val="none"/>
        </w:rPr>
      </w:r>
      <w:bookmarkStart w:id="5" w:name="_Toc513029200"/>
      <w:r>
        <w:rPr>
          <w:highlight w:val="none"/>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rPr>
          <w:highlight w:val="none"/>
        </w:rPr>
      </w:r>
      <w:r/>
    </w:p>
    <w:p>
      <w:pPr>
        <w:pStyle w:val="1195"/>
        <w:spacing w:line="360" w:lineRule="auto"/>
        <w:rPr>
          <w:rStyle w:val="1216"/>
          <w:rFonts w:ascii="黑体" w:hAnsi="黑体" w:eastAsia="黑体"/>
          <w:b/>
          <w:bCs/>
          <w:color w:val="000000" w:themeColor="text1"/>
          <w:sz w:val="36"/>
          <w:szCs w:val="36"/>
          <w:highlight w:val="none"/>
          <w:u w:val="none"/>
          <w14:textFill>
            <w14:solidFill>
              <w14:schemeClr w14:val="tx1"/>
            </w14:solidFill>
          </w14:textFill>
        </w:rPr>
      </w:pPr>
      <w:r>
        <w:rPr>
          <w:rFonts w:ascii="黑体" w:hAnsi="黑体" w:eastAsia="黑体"/>
          <w:b/>
          <w:color w:val="000000" w:themeColor="text1"/>
          <w:sz w:val="36"/>
          <w:szCs w:val="36"/>
          <w:highlight w:val="none"/>
          <w14:textFill>
            <w14:solidFill>
              <w14:schemeClr w14:val="tx1"/>
            </w14:solidFill>
          </w14:textFill>
        </w:rPr>
        <w:fldChar w:fldCharType="begin"/>
      </w:r>
      <w:r>
        <w:rPr>
          <w:rFonts w:ascii="黑体" w:hAnsi="黑体" w:eastAsia="黑体"/>
          <w:b/>
          <w:color w:val="000000" w:themeColor="text1"/>
          <w:sz w:val="36"/>
          <w:szCs w:val="36"/>
          <w:highlight w:val="none"/>
          <w14:textFill>
            <w14:solidFill>
              <w14:schemeClr w14:val="tx1"/>
            </w14:solidFill>
          </w14:textFill>
        </w:rPr>
        <w:instrText xml:space="preserve"> </w:instrText>
      </w:r>
      <w:r>
        <w:rPr>
          <w:rFonts w:hint="eastAsia" w:ascii="黑体" w:hAnsi="黑体" w:eastAsia="黑体"/>
          <w:b/>
          <w:color w:val="000000" w:themeColor="text1"/>
          <w:sz w:val="36"/>
          <w:szCs w:val="36"/>
          <w:highlight w:val="none"/>
          <w14:textFill>
            <w14:solidFill>
              <w14:schemeClr w14:val="tx1"/>
            </w14:solidFill>
          </w14:textFill>
        </w:rPr>
        <w:instrText xml:space="preserve">TOC \o "1-1" \h \z \u</w:instrText>
      </w:r>
      <w:r>
        <w:rPr>
          <w:rFonts w:ascii="黑体" w:hAnsi="黑体" w:eastAsia="黑体"/>
          <w:b/>
          <w:color w:val="000000" w:themeColor="text1"/>
          <w:sz w:val="36"/>
          <w:szCs w:val="36"/>
          <w:highlight w:val="none"/>
          <w14:textFill>
            <w14:solidFill>
              <w14:schemeClr w14:val="tx1"/>
            </w14:solidFill>
          </w14:textFill>
        </w:rPr>
        <w:instrText xml:space="preserve"> </w:instrText>
      </w:r>
      <w:r>
        <w:rPr>
          <w:rFonts w:ascii="黑体" w:hAnsi="黑体" w:eastAsia="黑体"/>
          <w:b/>
          <w:color w:val="000000" w:themeColor="text1"/>
          <w:sz w:val="36"/>
          <w:szCs w:val="36"/>
          <w:highlight w:val="none"/>
          <w14:textFill>
            <w14:solidFill>
              <w14:schemeClr w14:val="tx1"/>
            </w14:solidFill>
          </w14:textFill>
        </w:rPr>
        <w:fldChar w:fldCharType="separate"/>
      </w:r>
      <w:r>
        <w:rPr>
          <w:rStyle w:val="1216"/>
          <w:rFonts w:ascii="黑体" w:hAnsi="黑体" w:eastAsia="黑体"/>
          <w:b/>
          <w:color w:val="000000" w:themeColor="text1"/>
          <w:sz w:val="36"/>
          <w:szCs w:val="36"/>
          <w:highlight w:val="none"/>
          <w14:textFill>
            <w14:solidFill>
              <w14:schemeClr w14:val="tx1"/>
            </w14:solidFill>
          </w14:textFill>
        </w:rPr>
        <w:fldChar w:fldCharType="begin"/>
      </w:r>
      <w:r>
        <w:rPr>
          <w:rStyle w:val="1216"/>
          <w:rFonts w:ascii="黑体" w:hAnsi="黑体" w:eastAsia="黑体"/>
          <w:b/>
          <w:color w:val="000000" w:themeColor="text1"/>
          <w:sz w:val="36"/>
          <w:szCs w:val="36"/>
          <w:highlight w:val="none"/>
          <w14:textFill>
            <w14:solidFill>
              <w14:schemeClr w14:val="tx1"/>
            </w14:solidFill>
          </w14:textFill>
        </w:rPr>
        <w:instrText xml:space="preserve"> </w:instrText>
      </w:r>
      <w:r>
        <w:rPr>
          <w:rStyle w:val="1216"/>
          <w:rFonts w:ascii="黑体" w:hAnsi="黑体" w:eastAsia="黑体"/>
          <w:color w:val="000000" w:themeColor="text1"/>
          <w:sz w:val="36"/>
          <w:szCs w:val="36"/>
          <w:highlight w:val="none"/>
          <w14:textFill>
            <w14:solidFill>
              <w14:schemeClr w14:val="tx1"/>
            </w14:solidFill>
          </w14:textFill>
        </w:rPr>
        <w:instrText xml:space="preserve">HYPERLINK \l "_Toc171068950"</w:instrText>
      </w:r>
      <w:r>
        <w:rPr>
          <w:rStyle w:val="1216"/>
          <w:rFonts w:ascii="黑体" w:hAnsi="黑体" w:eastAsia="黑体"/>
          <w:b/>
          <w:color w:val="000000" w:themeColor="text1"/>
          <w:sz w:val="36"/>
          <w:szCs w:val="36"/>
          <w:highlight w:val="none"/>
          <w14:textFill>
            <w14:solidFill>
              <w14:schemeClr w14:val="tx1"/>
            </w14:solidFill>
          </w14:textFill>
        </w:rPr>
        <w:instrText xml:space="preserve"> </w:instrText>
      </w:r>
      <w:r>
        <w:rPr>
          <w:rStyle w:val="1216"/>
          <w:rFonts w:ascii="黑体" w:hAnsi="黑体" w:eastAsia="黑体"/>
          <w:b/>
          <w:color w:val="000000" w:themeColor="text1"/>
          <w:sz w:val="36"/>
          <w:szCs w:val="36"/>
          <w:highlight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第一章  投标邀请</w:t>
      </w:r>
      <w:r>
        <w:rPr>
          <w:rStyle w:val="1216"/>
          <w:rFonts w:ascii="黑体" w:hAnsi="黑体" w:eastAsia="黑体"/>
          <w:b/>
          <w:bCs/>
          <w:color w:val="000000" w:themeColor="text1"/>
          <w:sz w:val="36"/>
          <w:szCs w:val="36"/>
          <w:highlight w:val="none"/>
          <w:u w:val="none"/>
          <w14:textFill>
            <w14:solidFill>
              <w14:schemeClr w14:val="tx1"/>
            </w14:solidFill>
          </w14:textFill>
        </w:rPr>
        <w:tab/>
      </w:r>
      <w:r>
        <w:rPr>
          <w:rStyle w:val="1216"/>
          <w:rFonts w:ascii="黑体" w:hAnsi="黑体" w:eastAsia="黑体"/>
          <w:b/>
          <w:bCs/>
          <w:color w:val="000000" w:themeColor="text1"/>
          <w:sz w:val="36"/>
          <w:szCs w:val="36"/>
          <w:highlight w:val="none"/>
          <w:u w:val="none"/>
          <w14:textFill>
            <w14:solidFill>
              <w14:schemeClr w14:val="tx1"/>
            </w14:solidFill>
          </w14:textFill>
        </w:rPr>
        <w:fldChar w:fldCharType="begin"/>
      </w:r>
      <w:r>
        <w:rPr>
          <w:rStyle w:val="1216"/>
          <w:rFonts w:ascii="黑体" w:hAnsi="黑体" w:eastAsia="黑体"/>
          <w:b/>
          <w:bCs/>
          <w:color w:val="000000" w:themeColor="text1"/>
          <w:sz w:val="36"/>
          <w:szCs w:val="36"/>
          <w:highlight w:val="none"/>
          <w:u w:val="none"/>
          <w14:textFill>
            <w14:solidFill>
              <w14:schemeClr w14:val="tx1"/>
            </w14:solidFill>
          </w14:textFill>
        </w:rPr>
        <w:instrText xml:space="preserve"> PAGEREF _Toc171068950 \h </w:instrText>
      </w:r>
      <w:r>
        <w:rPr>
          <w:rStyle w:val="1216"/>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1</w:t>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highlight w:val="none"/>
        </w:rPr>
      </w:r>
      <w:r/>
    </w:p>
    <w:p>
      <w:pPr>
        <w:pStyle w:val="1195"/>
        <w:spacing w:line="360" w:lineRule="auto"/>
        <w:rPr>
          <w:rStyle w:val="1216"/>
          <w:rFonts w:ascii="黑体" w:hAnsi="黑体" w:eastAsia="黑体"/>
          <w:b/>
          <w:bCs/>
          <w:color w:val="000000" w:themeColor="text1"/>
          <w:sz w:val="36"/>
          <w:szCs w:val="36"/>
          <w:highlight w:val="none"/>
          <w:u w:val="none"/>
          <w14:textFill>
            <w14:solidFill>
              <w14:schemeClr w14:val="tx1"/>
            </w14:solidFill>
          </w14:textFill>
        </w:rPr>
      </w:pPr>
      <w:r>
        <w:rPr>
          <w:rStyle w:val="1216"/>
          <w:rFonts w:ascii="黑体" w:hAnsi="黑体" w:eastAsia="黑体"/>
          <w:b/>
          <w:bCs/>
          <w:color w:val="000000" w:themeColor="text1"/>
          <w:sz w:val="36"/>
          <w:szCs w:val="36"/>
          <w:highlight w:val="none"/>
          <w:u w:val="none"/>
          <w14:textFill>
            <w14:solidFill>
              <w14:schemeClr w14:val="tx1"/>
            </w14:solidFill>
          </w14:textFill>
        </w:rPr>
        <w:fldChar w:fldCharType="begin"/>
      </w:r>
      <w:r>
        <w:rPr>
          <w:rStyle w:val="1216"/>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"_Toc171068951" </w:instrText>
      </w:r>
      <w:r>
        <w:rPr>
          <w:rStyle w:val="1216"/>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第二章  投标人须知</w:t>
      </w:r>
      <w:r>
        <w:rPr>
          <w:rStyle w:val="1216"/>
          <w:rFonts w:ascii="黑体" w:hAnsi="黑体" w:eastAsia="黑体"/>
          <w:b/>
          <w:bCs/>
          <w:color w:val="000000" w:themeColor="text1"/>
          <w:sz w:val="36"/>
          <w:szCs w:val="36"/>
          <w:highlight w:val="none"/>
          <w:u w:val="none"/>
          <w14:textFill>
            <w14:solidFill>
              <w14:schemeClr w14:val="tx1"/>
            </w14:solidFill>
          </w14:textFill>
        </w:rPr>
        <w:tab/>
      </w:r>
      <w:r>
        <w:rPr>
          <w:rStyle w:val="1216"/>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5</w:t>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highlight w:val="none"/>
        </w:rPr>
      </w:r>
      <w:r/>
    </w:p>
    <w:p>
      <w:pPr>
        <w:pStyle w:val="1195"/>
        <w:spacing w:line="360" w:lineRule="auto"/>
        <w:rPr>
          <w:rStyle w:val="1216"/>
          <w:rFonts w:hint="eastAsia" w:ascii="黑体" w:hAnsi="黑体" w:eastAsia="黑体"/>
          <w:b/>
          <w:bCs/>
          <w:color w:val="000000" w:themeColor="text1"/>
          <w:sz w:val="36"/>
          <w:szCs w:val="36"/>
          <w:highlight w:val="none"/>
          <w:u w:val="none"/>
          <w14:textFill>
            <w14:solidFill>
              <w14:schemeClr w14:val="tx1"/>
            </w14:solidFill>
          </w14:textFill>
        </w:rPr>
      </w:pPr>
      <w:r>
        <w:rPr>
          <w:rStyle w:val="1216"/>
          <w:rFonts w:ascii="黑体" w:hAnsi="黑体" w:eastAsia="黑体"/>
          <w:b/>
          <w:bCs/>
          <w:color w:val="000000" w:themeColor="text1"/>
          <w:sz w:val="36"/>
          <w:szCs w:val="36"/>
          <w:highlight w:val="none"/>
          <w:u w:val="none"/>
          <w14:textFill>
            <w14:solidFill>
              <w14:schemeClr w14:val="tx1"/>
            </w14:solidFill>
          </w14:textFill>
        </w:rPr>
        <w:fldChar w:fldCharType="begin"/>
      </w:r>
      <w:r>
        <w:rPr>
          <w:rStyle w:val="1216"/>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"_Toc171068952" </w:instrText>
      </w:r>
      <w:r>
        <w:rPr>
          <w:rStyle w:val="1216"/>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第三章  合同文</w:t>
      </w:r>
      <w:bookmarkStart w:id="6" w:name="_Hlt171069218"/>
      <w:r>
        <w:rPr>
          <w:rStyle w:val="1216"/>
          <w:rFonts w:ascii="黑体" w:hAnsi="黑体" w:eastAsia="黑体"/>
          <w:b/>
          <w:bCs/>
          <w:color w:val="000000" w:themeColor="text1"/>
          <w:sz w:val="36"/>
          <w:szCs w:val="36"/>
          <w:highlight w:val="none"/>
          <w:u w:val="none"/>
          <w14:textFill>
            <w14:solidFill>
              <w14:schemeClr w14:val="tx1"/>
            </w14:solidFill>
          </w14:textFill>
        </w:rPr>
        <w:t xml:space="preserve">本</w:t>
      </w:r>
      <w:bookmarkEnd w:id="6"/>
      <w:r>
        <w:rPr>
          <w:rStyle w:val="1216"/>
          <w:rFonts w:ascii="黑体" w:hAnsi="黑体" w:eastAsia="黑体"/>
          <w:b/>
          <w:bCs/>
          <w:color w:val="000000" w:themeColor="text1"/>
          <w:sz w:val="36"/>
          <w:szCs w:val="36"/>
          <w:highlight w:val="none"/>
          <w:u w:val="none"/>
          <w14:textFill>
            <w14:solidFill>
              <w14:schemeClr w14:val="tx1"/>
            </w14:solidFill>
          </w14:textFill>
        </w:rPr>
        <w:tab/>
      </w:r>
      <w:r>
        <w:rPr>
          <w:rStyle w:val="1216"/>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1</w:t>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rStyle w:val="1216"/>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9</w:t>
      </w:r>
      <w:r>
        <w:rPr>
          <w:highlight w:val="none"/>
        </w:rPr>
      </w:r>
      <w:r/>
    </w:p>
    <w:p>
      <w:pPr>
        <w:pStyle w:val="1195"/>
        <w:spacing w:line="360" w:lineRule="auto"/>
        <w:rPr>
          <w:rStyle w:val="1216"/>
          <w:rFonts w:ascii="黑体" w:hAnsi="黑体" w:eastAsia="黑体"/>
          <w:b/>
          <w:bCs/>
          <w:color w:val="000000" w:themeColor="text1"/>
          <w:sz w:val="36"/>
          <w:szCs w:val="36"/>
          <w:highlight w:val="none"/>
          <w:u w:val="none"/>
          <w14:textFill>
            <w14:solidFill>
              <w14:schemeClr w14:val="tx1"/>
            </w14:solidFill>
          </w14:textFill>
        </w:rPr>
      </w:pPr>
      <w:r>
        <w:rPr>
          <w:rStyle w:val="1216"/>
          <w:rFonts w:ascii="黑体" w:hAnsi="黑体" w:eastAsia="黑体"/>
          <w:b/>
          <w:bCs/>
          <w:color w:val="000000" w:themeColor="text1"/>
          <w:sz w:val="36"/>
          <w:szCs w:val="36"/>
          <w:highlight w:val="none"/>
          <w:u w:val="none"/>
          <w14:textFill>
            <w14:solidFill>
              <w14:schemeClr w14:val="tx1"/>
            </w14:solidFill>
          </w14:textFill>
        </w:rPr>
        <w:fldChar w:fldCharType="begin"/>
      </w:r>
      <w:r>
        <w:rPr>
          <w:rStyle w:val="1216"/>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"_Toc171068953" </w:instrText>
      </w:r>
      <w:r>
        <w:rPr>
          <w:rStyle w:val="1216"/>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第四章  采购</w:t>
      </w:r>
      <w:bookmarkStart w:id="7" w:name="_Hlt171069229"/>
      <w:r>
        <w:rPr>
          <w:rStyle w:val="1216"/>
          <w:rFonts w:ascii="黑体" w:hAnsi="黑体" w:eastAsia="黑体"/>
          <w:b/>
          <w:bCs/>
          <w:color w:val="000000" w:themeColor="text1"/>
          <w:sz w:val="36"/>
          <w:szCs w:val="36"/>
          <w:highlight w:val="none"/>
          <w:u w:val="none"/>
          <w14:textFill>
            <w14:solidFill>
              <w14:schemeClr w14:val="tx1"/>
            </w14:solidFill>
          </w14:textFill>
        </w:rPr>
        <w:t xml:space="preserve">需</w:t>
      </w:r>
      <w:bookmarkEnd w:id="7"/>
      <w:r>
        <w:rPr>
          <w:rStyle w:val="1216"/>
          <w:rFonts w:ascii="黑体" w:hAnsi="黑体" w:eastAsia="黑体"/>
          <w:b/>
          <w:bCs/>
          <w:color w:val="000000" w:themeColor="text1"/>
          <w:sz w:val="36"/>
          <w:szCs w:val="36"/>
          <w:highlight w:val="none"/>
          <w:u w:val="none"/>
          <w14:textFill>
            <w14:solidFill>
              <w14:schemeClr w14:val="tx1"/>
            </w14:solidFill>
          </w14:textFill>
        </w:rPr>
        <w:t xml:space="preserve">求</w:t>
      </w:r>
      <w:r>
        <w:rPr>
          <w:rStyle w:val="1216"/>
          <w:rFonts w:ascii="黑体" w:hAnsi="黑体" w:eastAsia="黑体"/>
          <w:b/>
          <w:bCs/>
          <w:color w:val="000000" w:themeColor="text1"/>
          <w:sz w:val="36"/>
          <w:szCs w:val="36"/>
          <w:highlight w:val="none"/>
          <w:u w:val="none"/>
          <w14:textFill>
            <w14:solidFill>
              <w14:schemeClr w14:val="tx1"/>
            </w14:solidFill>
          </w14:textFill>
        </w:rPr>
        <w:tab/>
      </w:r>
      <w:r>
        <w:rPr>
          <w:rStyle w:val="1216"/>
          <w:rFonts w:ascii="黑体" w:hAnsi="黑体" w:eastAsia="黑体"/>
          <w:b/>
          <w:bCs/>
          <w:color w:val="000000" w:themeColor="text1"/>
          <w:sz w:val="36"/>
          <w:szCs w:val="36"/>
          <w:highlight w:val="none"/>
          <w:u w:val="none"/>
          <w14:textFill>
            <w14:solidFill>
              <w14:schemeClr w14:val="tx1"/>
            </w14:solidFill>
          </w14:textFill>
        </w:rPr>
        <w:fldChar w:fldCharType="begin"/>
      </w:r>
      <w:r>
        <w:rPr>
          <w:rStyle w:val="1216"/>
          <w:rFonts w:ascii="黑体" w:hAnsi="黑体" w:eastAsia="黑体"/>
          <w:b/>
          <w:bCs/>
          <w:color w:val="000000" w:themeColor="text1"/>
          <w:sz w:val="36"/>
          <w:szCs w:val="36"/>
          <w:highlight w:val="none"/>
          <w:u w:val="none"/>
          <w14:textFill>
            <w14:solidFill>
              <w14:schemeClr w14:val="tx1"/>
            </w14:solidFill>
          </w14:textFill>
        </w:rPr>
        <w:instrText xml:space="preserve"> PAGEREF _Toc171068953 \h </w:instrText>
      </w:r>
      <w:r>
        <w:rPr>
          <w:rStyle w:val="1216"/>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33</w:t>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highlight w:val="none"/>
        </w:rPr>
      </w:r>
      <w:r/>
    </w:p>
    <w:p>
      <w:pPr>
        <w:pStyle w:val="1195"/>
        <w:spacing w:line="360" w:lineRule="auto"/>
        <w:rPr>
          <w:rStyle w:val="1216"/>
          <w:rFonts w:hint="eastAsia" w:ascii="黑体" w:hAnsi="黑体" w:eastAsia="黑体"/>
          <w:b/>
          <w:bCs/>
          <w:color w:val="000000" w:themeColor="text1"/>
          <w:sz w:val="36"/>
          <w:szCs w:val="36"/>
          <w:highlight w:val="none"/>
          <w:u w:val="none"/>
          <w14:textFill>
            <w14:solidFill>
              <w14:schemeClr w14:val="tx1"/>
            </w14:solidFill>
          </w14:textFill>
        </w:rPr>
      </w:pPr>
      <w:r>
        <w:rPr>
          <w:rStyle w:val="1216"/>
          <w:rFonts w:ascii="黑体" w:hAnsi="黑体" w:eastAsia="黑体"/>
          <w:b/>
          <w:bCs/>
          <w:color w:val="000000" w:themeColor="text1"/>
          <w:sz w:val="36"/>
          <w:szCs w:val="36"/>
          <w:highlight w:val="none"/>
          <w:u w:val="none"/>
          <w14:textFill>
            <w14:solidFill>
              <w14:schemeClr w14:val="tx1"/>
            </w14:solidFill>
          </w14:textFill>
        </w:rPr>
        <w:fldChar w:fldCharType="begin"/>
      </w:r>
      <w:r>
        <w:rPr>
          <w:rStyle w:val="1216"/>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"_Toc171068954" </w:instrText>
      </w:r>
      <w:r>
        <w:rPr>
          <w:rStyle w:val="1216"/>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第五章</w:t>
      </w:r>
      <w:bookmarkStart w:id="8" w:name="_Hlt171415850"/>
      <w:r>
        <w:rPr>
          <w:highlight w:val="none"/>
        </w:rPr>
      </w:r>
      <w:bookmarkStart w:id="9" w:name="_Hlt171415851"/>
      <w:r>
        <w:rPr>
          <w:rStyle w:val="1216"/>
          <w:rFonts w:ascii="黑体" w:hAnsi="黑体" w:eastAsia="黑体"/>
          <w:b/>
          <w:bCs/>
          <w:color w:val="000000" w:themeColor="text1"/>
          <w:sz w:val="36"/>
          <w:szCs w:val="36"/>
          <w:highlight w:val="none"/>
          <w:u w:val="none"/>
          <w14:textFill>
            <w14:solidFill>
              <w14:schemeClr w14:val="tx1"/>
            </w14:solidFill>
          </w14:textFill>
        </w:rPr>
        <w:t xml:space="preserve"> </w:t>
      </w:r>
      <w:bookmarkEnd w:id="8"/>
      <w:r>
        <w:rPr>
          <w:highlight w:val="none"/>
        </w:rPr>
      </w:r>
      <w:bookmarkEnd w:id="9"/>
      <w:r>
        <w:rPr>
          <w:rStyle w:val="1216"/>
          <w:rFonts w:ascii="黑体" w:hAnsi="黑体" w:eastAsia="黑体"/>
          <w:b/>
          <w:bCs/>
          <w:color w:val="000000" w:themeColor="text1"/>
          <w:sz w:val="36"/>
          <w:szCs w:val="36"/>
          <w:highlight w:val="none"/>
          <w:u w:val="none"/>
          <w14:textFill>
            <w14:solidFill>
              <w14:schemeClr w14:val="tx1"/>
            </w14:solidFill>
          </w14:textFill>
        </w:rPr>
        <w:t xml:space="preserve"> 评标</w:t>
      </w:r>
      <w:bookmarkStart w:id="10" w:name="_Hlt171084855"/>
      <w:r>
        <w:rPr>
          <w:highlight w:val="none"/>
        </w:rPr>
      </w:r>
      <w:bookmarkStart w:id="11" w:name="_Hlt171084856"/>
      <w:r>
        <w:rPr>
          <w:rStyle w:val="1216"/>
          <w:rFonts w:ascii="黑体" w:hAnsi="黑体" w:eastAsia="黑体"/>
          <w:b/>
          <w:bCs/>
          <w:color w:val="000000" w:themeColor="text1"/>
          <w:sz w:val="36"/>
          <w:szCs w:val="36"/>
          <w:highlight w:val="none"/>
          <w:u w:val="none"/>
          <w14:textFill>
            <w14:solidFill>
              <w14:schemeClr w14:val="tx1"/>
            </w14:solidFill>
          </w14:textFill>
        </w:rPr>
        <w:t xml:space="preserve">方</w:t>
      </w:r>
      <w:bookmarkEnd w:id="10"/>
      <w:r>
        <w:rPr>
          <w:highlight w:val="none"/>
        </w:rPr>
      </w:r>
      <w:bookmarkEnd w:id="11"/>
      <w:r>
        <w:rPr>
          <w:rStyle w:val="1216"/>
          <w:rFonts w:ascii="黑体" w:hAnsi="黑体" w:eastAsia="黑体"/>
          <w:b/>
          <w:bCs/>
          <w:color w:val="000000" w:themeColor="text1"/>
          <w:sz w:val="36"/>
          <w:szCs w:val="36"/>
          <w:highlight w:val="none"/>
          <w:u w:val="none"/>
          <w14:textFill>
            <w14:solidFill>
              <w14:schemeClr w14:val="tx1"/>
            </w14:solidFill>
          </w14:textFill>
        </w:rPr>
        <w:t xml:space="preserve">法与评标标准</w:t>
      </w:r>
      <w:r>
        <w:rPr>
          <w:rStyle w:val="1216"/>
          <w:rFonts w:ascii="黑体" w:hAnsi="黑体" w:eastAsia="黑体"/>
          <w:b/>
          <w:bCs/>
          <w:color w:val="000000" w:themeColor="text1"/>
          <w:sz w:val="36"/>
          <w:szCs w:val="36"/>
          <w:highlight w:val="none"/>
          <w:u w:val="none"/>
          <w14:textFill>
            <w14:solidFill>
              <w14:schemeClr w14:val="tx1"/>
            </w14:solidFill>
          </w14:textFill>
        </w:rPr>
        <w:tab/>
      </w:r>
      <w:r>
        <w:rPr>
          <w:rStyle w:val="1216"/>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4</w:t>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rStyle w:val="1216"/>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4</w:t>
      </w:r>
      <w:r>
        <w:rPr>
          <w:highlight w:val="none"/>
        </w:rPr>
      </w:r>
      <w:r/>
    </w:p>
    <w:p>
      <w:pPr>
        <w:pStyle w:val="1195"/>
        <w:spacing w:line="360" w:lineRule="auto"/>
        <w:rPr>
          <w:rFonts w:hint="eastAsia" w:ascii="黑体" w:hAnsi="黑体" w:eastAsia="黑体"/>
          <w:b/>
          <w:bCs/>
          <w:caps w:val="0"/>
          <w:color w:val="000000" w:themeColor="text1"/>
          <w:sz w:val="36"/>
          <w:szCs w:val="36"/>
          <w:highlight w:val="none"/>
          <w:u w:val="none"/>
          <w14:textFill>
            <w14:solidFill>
              <w14:schemeClr w14:val="tx1"/>
            </w14:solidFill>
          </w14:textFill>
        </w:rPr>
      </w:pPr>
      <w:r>
        <w:rPr>
          <w:rStyle w:val="1216"/>
          <w:rFonts w:ascii="黑体" w:hAnsi="黑体" w:eastAsia="黑体"/>
          <w:b/>
          <w:bCs/>
          <w:color w:val="000000" w:themeColor="text1"/>
          <w:sz w:val="36"/>
          <w:szCs w:val="36"/>
          <w:highlight w:val="none"/>
          <w:u w:val="none"/>
          <w14:textFill>
            <w14:solidFill>
              <w14:schemeClr w14:val="tx1"/>
            </w14:solidFill>
          </w14:textFill>
        </w:rPr>
        <w:fldChar w:fldCharType="begin"/>
      </w:r>
      <w:r>
        <w:rPr>
          <w:rStyle w:val="1216"/>
          <w:rFonts w:ascii="黑体" w:hAnsi="黑体" w:eastAsia="黑体"/>
          <w:b/>
          <w:bCs/>
          <w:color w:val="000000" w:themeColor="text1"/>
          <w:sz w:val="36"/>
          <w:szCs w:val="36"/>
          <w:highlight w:val="none"/>
          <w:u w:val="none"/>
          <w14:textFill>
            <w14:solidFill>
              <w14:schemeClr w14:val="tx1"/>
            </w14:solidFill>
          </w14:textFill>
        </w:rPr>
        <w:instrText xml:space="preserve"> HYPERLINK \l "_Toc171068955" </w:instrText>
      </w:r>
      <w:r>
        <w:rPr>
          <w:rStyle w:val="1216"/>
          <w:rFonts w:ascii="黑体" w:hAnsi="黑体" w:eastAsia="黑体"/>
          <w:b/>
          <w:bCs/>
          <w:color w:val="000000" w:themeColor="text1"/>
          <w:sz w:val="36"/>
          <w:szCs w:val="36"/>
          <w:highlight w:val="none"/>
          <w:u w:val="none"/>
          <w14:textFill>
            <w14:solidFill>
              <w14:schemeClr w14:val="tx1"/>
            </w14:solidFill>
          </w14:textFill>
        </w:rPr>
        <w:fldChar w:fldCharType="separate"/>
      </w:r>
      <w:r>
        <w:rPr>
          <w:rStyle w:val="1216"/>
          <w:rFonts w:ascii="黑体" w:hAnsi="黑体" w:eastAsia="黑体"/>
          <w:b/>
          <w:bCs/>
          <w:color w:val="000000" w:themeColor="text1"/>
          <w:sz w:val="36"/>
          <w:szCs w:val="36"/>
          <w:highlight w:val="none"/>
          <w:u w:val="none"/>
          <w14:textFill>
            <w14:solidFill>
              <w14:schemeClr w14:val="tx1"/>
            </w14:solidFill>
          </w14:textFill>
        </w:rPr>
        <w:t xml:space="preserve">第六章  投标文件格式</w:t>
      </w:r>
      <w:bookmarkStart w:id="12" w:name="_Hlt171069212"/>
      <w:r>
        <w:rPr>
          <w:rStyle w:val="1216"/>
          <w:rFonts w:ascii="黑体" w:hAnsi="黑体" w:eastAsia="黑体"/>
          <w:b/>
          <w:bCs/>
          <w:color w:val="000000" w:themeColor="text1"/>
          <w:sz w:val="36"/>
          <w:szCs w:val="36"/>
          <w:highlight w:val="none"/>
          <w:u w:val="none"/>
          <w14:textFill>
            <w14:solidFill>
              <w14:schemeClr w14:val="tx1"/>
            </w14:solidFill>
          </w14:textFill>
        </w:rPr>
        <w:tab/>
      </w:r>
      <w:bookmarkEnd w:id="12"/>
      <w:r>
        <w:rPr>
          <w:rStyle w:val="1216"/>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4</w:t>
      </w:r>
      <w:r>
        <w:rPr>
          <w:rStyle w:val="1216"/>
          <w:rFonts w:ascii="黑体" w:hAnsi="黑体" w:eastAsia="黑体"/>
          <w:b/>
          <w:bCs/>
          <w:color w:val="000000" w:themeColor="text1"/>
          <w:sz w:val="36"/>
          <w:szCs w:val="36"/>
          <w:highlight w:val="none"/>
          <w:u w:val="none"/>
          <w14:textFill>
            <w14:solidFill>
              <w14:schemeClr w14:val="tx1"/>
            </w14:solidFill>
          </w14:textFill>
        </w:rPr>
        <w:fldChar w:fldCharType="end"/>
      </w:r>
      <w:r>
        <w:rPr>
          <w:rStyle w:val="1216"/>
          <w:rFonts w:hint="eastAsia" w:ascii="黑体" w:hAnsi="黑体" w:eastAsia="黑体"/>
          <w:b/>
          <w:bCs/>
          <w:color w:val="000000" w:themeColor="text1"/>
          <w:sz w:val="36"/>
          <w:szCs w:val="36"/>
          <w:highlight w:val="none"/>
          <w:u w:val="none"/>
          <w:lang w:val="en-US" w:eastAsia="zh-CN"/>
          <w14:textFill>
            <w14:solidFill>
              <w14:schemeClr w14:val="tx1"/>
            </w14:solidFill>
          </w14:textFill>
        </w:rPr>
        <w:t xml:space="preserve">9</w:t>
      </w:r>
      <w:r>
        <w:rPr>
          <w:highlight w:val="none"/>
        </w:rPr>
      </w:r>
      <w:r/>
    </w:p>
    <w:p>
      <w:pPr>
        <w:spacing w:line="360" w:lineRule="auto"/>
        <w:rPr>
          <w:rFonts w:hint="eastAsia"/>
          <w:color w:val="000000" w:themeColor="text1"/>
          <w:szCs w:val="21"/>
          <w:highlight w:val="none"/>
          <w14:textFill>
            <w14:solidFill>
              <w14:schemeClr w14:val="tx1"/>
            </w14:solidFill>
          </w14:textFill>
        </w:rPr>
      </w:pPr>
      <w:r>
        <w:rPr>
          <w:rFonts w:ascii="黑体" w:hAnsi="黑体" w:eastAsia="黑体"/>
          <w:b/>
          <w:color w:val="000000" w:themeColor="text1"/>
          <w:sz w:val="36"/>
          <w:szCs w:val="36"/>
          <w:highlight w:val="none"/>
          <w14:textFill>
            <w14:solidFill>
              <w14:schemeClr w14:val="tx1"/>
            </w14:solidFill>
          </w14:textFill>
        </w:rPr>
        <w:fldChar w:fldCharType="end"/>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14:textFill>
            <w14:solidFill>
              <w14:schemeClr w14:val="tx1"/>
            </w14:solidFill>
          </w14:textFill>
        </w:rPr>
      </w:r>
      <w:r>
        <w:rPr>
          <w:highlight w:val="none"/>
        </w:rPr>
      </w:r>
      <w:r/>
    </w:p>
    <w:p>
      <w:pPr>
        <w:jc w:val="center"/>
        <w:keepNext/>
        <w:rPr>
          <w:rFonts w:hint="eastAsia" w:ascii="黑体" w:eastAsia="黑体"/>
          <w:bCs/>
          <w:color w:val="000000" w:themeColor="text1"/>
          <w:sz w:val="44"/>
          <w:szCs w:val="44"/>
          <w:highlight w:val="none"/>
          <w14:textFill>
            <w14:solidFill>
              <w14:schemeClr w14:val="tx1"/>
            </w14:solidFill>
          </w14:textFill>
        </w:rPr>
        <w:outlineLvl w:val="0"/>
      </w:pPr>
      <w:r>
        <w:rPr>
          <w:highlight w:val="none"/>
        </w:rPr>
      </w:r>
      <w:bookmarkStart w:id="13" w:name="_Toc171068950"/>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13"/>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w:t>
      </w:r>
      <w:r>
        <w:rPr>
          <w:rFonts w:hint="eastAsia" w:ascii="仿宋" w:hAnsi="仿宋" w:eastAsia="仿宋"/>
          <w:color w:val="000000" w:themeColor="text1"/>
          <w:sz w:val="28"/>
          <w:szCs w:val="28"/>
          <w:highlight w:val="none"/>
          <w:lang w:eastAsia="zh-CN"/>
          <w14:textFill>
            <w14:solidFill>
              <w14:schemeClr w14:val="tx1"/>
            </w14:solidFill>
          </w14:textFill>
        </w:rPr>
        <w:t xml:space="preserve">江苏省南通中学</w:t>
      </w:r>
      <w:r>
        <w:rPr>
          <w:rFonts w:hint="eastAsia" w:ascii="仿宋" w:hAnsi="仿宋" w:eastAsia="仿宋"/>
          <w:color w:val="000000" w:themeColor="text1"/>
          <w:sz w:val="28"/>
          <w:szCs w:val="28"/>
          <w:highlight w:val="none"/>
          <w14:textFill>
            <w14:solidFill>
              <w14:schemeClr w14:val="tx1"/>
            </w14:solidFill>
          </w14:textFill>
        </w:rPr>
        <w:t xml:space="preserve">的委托，南通市教育技术中心就</w:t>
      </w:r>
      <w:r>
        <w:rPr>
          <w:rFonts w:hint="eastAsia" w:ascii="仿宋" w:hAnsi="仿宋" w:eastAsia="仿宋"/>
          <w:color w:val="000000" w:themeColor="text1"/>
          <w:sz w:val="28"/>
          <w:szCs w:val="28"/>
          <w:highlight w:val="none"/>
          <w:lang w:eastAsia="zh-CN"/>
          <w14:textFill>
            <w14:solidFill>
              <w14:schemeClr w14:val="tx1"/>
            </w14:solidFill>
          </w14:textFill>
        </w:rPr>
        <w:t xml:space="preserve">江苏省南通中学AI创新教室采购项目（二次）（</w:t>
      </w:r>
      <w:r>
        <w:rPr>
          <w:rFonts w:hint="eastAsia" w:ascii="仿宋" w:hAnsi="仿宋" w:eastAsia="仿宋"/>
          <w:color w:val="000000" w:themeColor="text1"/>
          <w:sz w:val="28"/>
          <w:szCs w:val="28"/>
          <w:highlight w:val="none"/>
          <w14:textFill>
            <w14:solidFill>
              <w14:schemeClr w14:val="tx1"/>
            </w14:solidFill>
          </w14:textFill>
        </w:rPr>
        <w:t xml:space="preserve">JSZC-320600-JZCG-G2025</w:t>
      </w:r>
      <w:r>
        <w:rPr>
          <w:rFonts w:hint="eastAsia" w:ascii="仿宋" w:hAnsi="仿宋" w:eastAsia="仿宋"/>
          <w:color w:val="000000" w:themeColor="text1"/>
          <w:sz w:val="28"/>
          <w:szCs w:val="28"/>
          <w:highlight w:val="none"/>
          <w:lang w:eastAsia="zh-CN"/>
          <w14:textFill>
            <w14:solidFill>
              <w14:schemeClr w14:val="tx1"/>
            </w14:solidFill>
          </w14:textFill>
        </w:rPr>
        <w:t xml:space="preserve">-0227</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进行公开招标采购，欢迎符合条件的供应商投标。</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项目概况</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u w:val="single"/>
          <w:lang w:eastAsia="zh-CN"/>
          <w14:textFill>
            <w14:solidFill>
              <w14:schemeClr w14:val="tx1"/>
            </w14:solidFill>
          </w14:textFill>
        </w:rPr>
        <w:t xml:space="preserve">江苏省南通中学AI创新教室采购项目（二次）</w:t>
      </w:r>
      <w:r>
        <w:rPr>
          <w:rFonts w:hint="eastAsia" w:ascii="仿宋" w:hAnsi="仿宋" w:eastAsia="仿宋"/>
          <w:color w:val="000000" w:themeColor="text1"/>
          <w:sz w:val="28"/>
          <w:szCs w:val="28"/>
          <w:highlight w:val="none"/>
          <w14:textFill>
            <w14:solidFill>
              <w14:schemeClr w14:val="tx1"/>
            </w14:solidFill>
          </w14:textFill>
        </w:rPr>
        <w:t xml:space="preserve">的潜在投标人可在</w:t>
      </w:r>
      <w:r>
        <w:rPr>
          <w:rFonts w:hint="eastAsia" w:ascii="仿宋" w:hAnsi="仿宋" w:eastAsia="仿宋"/>
          <w:color w:val="000000" w:themeColor="text1"/>
          <w:sz w:val="28"/>
          <w:szCs w:val="28"/>
          <w:highlight w:val="none"/>
          <w:u w:val="single"/>
          <w14:textFill>
            <w14:solidFill>
              <w14:schemeClr w14:val="tx1"/>
            </w14:solidFill>
          </w14:textFill>
        </w:rPr>
        <w:t xml:space="preserve">“江苏政府采购网”自行免费下载</w:t>
      </w:r>
      <w:r>
        <w:rPr>
          <w:rFonts w:hint="eastAsia" w:ascii="仿宋" w:hAnsi="仿宋" w:eastAsia="仿宋"/>
          <w:color w:val="000000" w:themeColor="text1"/>
          <w:sz w:val="28"/>
          <w:szCs w:val="28"/>
          <w:highlight w:val="none"/>
          <w14:textFill>
            <w14:solidFill>
              <w14:schemeClr w14:val="tx1"/>
            </w14:solidFill>
          </w14:textFill>
        </w:rPr>
        <w:t xml:space="preserve">招标文件，并于</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5</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12</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22</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14:textFill>
            <w14:solidFill>
              <w14:schemeClr w14:val="tx1"/>
            </w14:solidFill>
          </w14:textFill>
        </w:rPr>
        <w:t xml:space="preserve">北京时间）前递交投标</w:t>
      </w:r>
      <w:r>
        <w:rPr>
          <w:rFonts w:ascii="仿宋" w:hAnsi="仿宋" w:eastAsia="仿宋"/>
          <w:bCs/>
          <w:color w:val="000000" w:themeColor="text1"/>
          <w:sz w:val="28"/>
          <w:szCs w:val="28"/>
          <w:highlight w:val="none"/>
          <w14:textFill>
            <w14:solidFill>
              <w14:schemeClr w14:val="tx1"/>
            </w14:solidFill>
          </w14:textFill>
        </w:rPr>
        <w:t xml:space="preserve">文件</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4" w:name="_Toc35393790"/>
      <w:r>
        <w:rPr>
          <w:highlight w:val="none"/>
        </w:rPr>
      </w:r>
      <w:bookmarkStart w:id="15" w:name="_Toc28359002"/>
      <w:r>
        <w:rPr>
          <w:highlight w:val="none"/>
        </w:rPr>
      </w:r>
      <w:bookmarkStart w:id="16" w:name="_Toc28359079"/>
      <w:r>
        <w:rPr>
          <w:highlight w:val="none"/>
        </w:rPr>
      </w:r>
      <w:bookmarkStart w:id="17" w:name="_Toc35393621"/>
      <w:r>
        <w:rPr>
          <w:highlight w:val="none"/>
        </w:rPr>
      </w:r>
      <w:bookmarkStart w:id="18" w:name="_Toc38985263"/>
      <w:r>
        <w:rPr>
          <w:highlight w:val="none"/>
        </w:rPr>
      </w:r>
      <w:bookmarkStart w:id="19" w:name="_Hlk24379207"/>
      <w:r>
        <w:rPr>
          <w:rFonts w:hint="eastAsia" w:ascii="仿宋" w:hAnsi="仿宋" w:eastAsia="仿宋"/>
          <w:b/>
          <w:bCs/>
          <w:color w:val="000000" w:themeColor="text1"/>
          <w:sz w:val="28"/>
          <w:szCs w:val="28"/>
          <w:highlight w:val="none"/>
          <w14:textFill>
            <w14:solidFill>
              <w14:schemeClr w14:val="tx1"/>
            </w14:solidFill>
          </w14:textFill>
        </w:rPr>
        <w:t xml:space="preserve">一、项目基本情况</w:t>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1.项目编号：JSZC-320600-JZCG-G2025</w:t>
      </w:r>
      <w:r>
        <w:rPr>
          <w:rFonts w:hint="eastAsia" w:ascii="仿宋" w:hAnsi="仿宋" w:eastAsia="仿宋"/>
          <w:color w:val="000000" w:themeColor="text1"/>
          <w:sz w:val="28"/>
          <w:szCs w:val="28"/>
          <w:highlight w:val="none"/>
          <w:lang w:eastAsia="zh-CN"/>
          <w14:textFill>
            <w14:solidFill>
              <w14:schemeClr w14:val="tx1"/>
            </w14:solidFill>
          </w14:textFill>
        </w:rPr>
        <w:t xml:space="preserve">-0227</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2.项目名称：</w:t>
      </w:r>
      <w:bookmarkEnd w:id="19"/>
      <w:r>
        <w:rPr>
          <w:rFonts w:hint="eastAsia" w:ascii="仿宋" w:hAnsi="仿宋" w:eastAsia="仿宋"/>
          <w:color w:val="000000" w:themeColor="text1"/>
          <w:sz w:val="28"/>
          <w:szCs w:val="28"/>
          <w:highlight w:val="none"/>
          <w:lang w:eastAsia="zh-CN"/>
          <w14:textFill>
            <w14:solidFill>
              <w14:schemeClr w14:val="tx1"/>
            </w14:solidFill>
          </w14:textFill>
        </w:rPr>
        <w:t xml:space="preserve">江苏省南通中学AI创新教室采购项目（二次）</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3.预算金额：</w:t>
      </w:r>
      <w:bookmarkStart w:id="20" w:name="_Toc38985264"/>
      <w:r>
        <w:rPr>
          <w:highlight w:val="none"/>
        </w:rPr>
      </w:r>
      <w:bookmarkStart w:id="21" w:name="_Toc28359080"/>
      <w:r>
        <w:rPr>
          <w:highlight w:val="none"/>
        </w:rPr>
      </w:r>
      <w:bookmarkStart w:id="22" w:name="_Toc28359003"/>
      <w:r>
        <w:rPr>
          <w:highlight w:val="none"/>
        </w:rPr>
      </w:r>
      <w:bookmarkStart w:id="23" w:name="_Toc35393791"/>
      <w:r>
        <w:rPr>
          <w:highlight w:val="none"/>
        </w:rPr>
      </w:r>
      <w:bookmarkStart w:id="24" w:name="_Toc35393622"/>
      <w:r>
        <w:rPr>
          <w:rFonts w:hint="eastAsia" w:ascii="仿宋" w:hAnsi="仿宋" w:eastAsia="仿宋"/>
          <w:color w:val="000000" w:themeColor="text1"/>
          <w:sz w:val="28"/>
          <w:szCs w:val="28"/>
          <w:highlight w:val="none"/>
          <w:lang w:val="en-US" w:eastAsia="zh-CN"/>
          <w14:textFill>
            <w14:solidFill>
              <w14:schemeClr w14:val="tx1"/>
            </w14:solidFill>
          </w14:textFill>
        </w:rPr>
        <w:t xml:space="preserve">85</w:t>
      </w:r>
      <w:r>
        <w:rPr>
          <w:rFonts w:hint="eastAsia" w:ascii="仿宋" w:hAnsi="仿宋" w:eastAsia="仿宋"/>
          <w:color w:val="000000" w:themeColor="text1"/>
          <w:sz w:val="28"/>
          <w:szCs w:val="28"/>
          <w:highlight w:val="none"/>
          <w14:textFill>
            <w14:solidFill>
              <w14:schemeClr w14:val="tx1"/>
            </w14:solidFill>
          </w14:textFill>
        </w:rPr>
        <w:t xml:space="preserve">万元</w:t>
      </w:r>
      <w:r>
        <w:rPr>
          <w:highlight w:val="none"/>
        </w:rPr>
      </w:r>
      <w:r/>
    </w:p>
    <w:p>
      <w:pPr>
        <w:ind w:firstLine="560"/>
        <w:spacing w:line="480" w:lineRule="exact"/>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4.最高限价：</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85</w:t>
      </w:r>
      <w:r>
        <w:rPr>
          <w:rFonts w:hint="eastAsia" w:ascii="仿宋" w:hAnsi="仿宋" w:eastAsia="仿宋"/>
          <w:color w:val="000000" w:themeColor="text1"/>
          <w:sz w:val="28"/>
          <w:szCs w:val="28"/>
          <w:highlight w:val="none"/>
          <w14:textFill>
            <w14:solidFill>
              <w14:schemeClr w14:val="tx1"/>
            </w14:solidFill>
          </w14:textFill>
        </w:rPr>
        <w:t xml:space="preserve">万元</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 </w:t>
      </w:r>
      <w:r>
        <w:rPr>
          <w:highlight w:val="none"/>
        </w:rPr>
      </w:r>
      <w:r/>
    </w:p>
    <w:p>
      <w:pPr>
        <w:ind w:firstLine="560"/>
        <w:spacing w:line="48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5.采购需求（简介）：AI创新教室</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设备一批，详见采购需求</w:t>
      </w:r>
      <w:r>
        <w:rPr>
          <w:rFonts w:hint="eastAsia" w:ascii="仿宋" w:hAnsi="仿宋" w:eastAsia="仿宋" w:cs="宋体"/>
          <w:color w:val="000000" w:themeColor="text1"/>
          <w:sz w:val="28"/>
          <w:szCs w:val="28"/>
          <w:highlight w:val="none"/>
          <w14:textFill>
            <w14:solidFill>
              <w14:schemeClr w14:val="tx1"/>
            </w14:solidFill>
          </w14:textFill>
        </w:rPr>
        <w:t xml:space="preserve">。</w:t>
      </w:r>
      <w:r>
        <w:rPr>
          <w:highlight w:val="none"/>
        </w:rPr>
      </w:r>
      <w:r/>
    </w:p>
    <w:p>
      <w:pPr>
        <w:ind w:firstLine="560"/>
        <w:spacing w:line="48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6.合同履行期限：合同签订后20个日历天内完成</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交付</w:t>
      </w:r>
      <w:r>
        <w:rPr>
          <w:rFonts w:hint="eastAsia" w:ascii="仿宋" w:hAnsi="仿宋" w:eastAsia="仿宋"/>
          <w:color w:val="000000" w:themeColor="text1"/>
          <w:sz w:val="28"/>
          <w:szCs w:val="28"/>
          <w:highlight w:val="none"/>
          <w14:textFill>
            <w14:solidFill>
              <w14:schemeClr w14:val="tx1"/>
            </w14:solidFill>
          </w14:textFill>
        </w:rPr>
        <w:t xml:space="preserve">，并通过验收。</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二、申请人的资格要求：</w:t>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25" w:name="_Toc35393792"/>
      <w:r>
        <w:rPr>
          <w:highlight w:val="none"/>
        </w:rPr>
      </w:r>
      <w:bookmarkStart w:id="26" w:name="_Toc28359004"/>
      <w:r>
        <w:rPr>
          <w:highlight w:val="none"/>
        </w:rPr>
      </w:r>
      <w:bookmarkStart w:id="27" w:name="_Toc28359081"/>
      <w:r>
        <w:rPr>
          <w:highlight w:val="none"/>
        </w:rPr>
      </w:r>
      <w:bookmarkStart w:id="28" w:name="_Toc35393623"/>
      <w:r>
        <w:rPr>
          <w:highlight w:val="none"/>
        </w:rPr>
      </w:r>
      <w:bookmarkStart w:id="29" w:name="_Toc38985265"/>
      <w:r>
        <w:rPr>
          <w:rFonts w:hint="eastAsia" w:ascii="仿宋" w:hAnsi="仿宋" w:eastAsia="仿宋"/>
          <w:color w:val="000000" w:themeColor="text1"/>
          <w:sz w:val="28"/>
          <w:szCs w:val="28"/>
          <w:highlight w:val="none"/>
          <w14:textFill>
            <w14:solidFill>
              <w14:schemeClr w14:val="tx1"/>
            </w14:solidFill>
          </w14:textFill>
        </w:rPr>
        <w:t xml:space="preserve">（一</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通用</w:t>
      </w:r>
      <w:r>
        <w:rPr>
          <w:rFonts w:ascii="仿宋" w:hAnsi="仿宋" w:eastAsia="仿宋"/>
          <w:color w:val="000000" w:themeColor="text1"/>
          <w:sz w:val="28"/>
          <w:szCs w:val="28"/>
          <w:highlight w:val="none"/>
          <w14:textFill>
            <w14:solidFill>
              <w14:schemeClr w14:val="tx1"/>
            </w14:solidFill>
          </w14:textFill>
        </w:rPr>
        <w:t xml:space="preserve">资格要求</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提供声明函</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4.本项目不接受联合体投标。</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5.本项目不接受分包。</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rPr>
          <w:highlight w:val="none"/>
        </w:rPr>
      </w: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三、获取招标文件</w:t>
      </w:r>
      <w:bookmarkEnd w:id="25"/>
      <w:r>
        <w:rPr>
          <w:highlight w:val="none"/>
        </w:rPr>
      </w:r>
      <w:bookmarkEnd w:id="26"/>
      <w:r>
        <w:rPr>
          <w:highlight w:val="none"/>
        </w:rPr>
      </w:r>
      <w:bookmarkEnd w:id="27"/>
      <w:r>
        <w:rPr>
          <w:highlight w:val="none"/>
        </w:rPr>
      </w:r>
      <w:bookmarkEnd w:id="28"/>
      <w:r>
        <w:rPr>
          <w:highlight w:val="none"/>
        </w:rPr>
      </w:r>
      <w:bookmarkEnd w:id="29"/>
      <w:r>
        <w:rPr>
          <w:highlight w:val="none"/>
        </w:rPr>
      </w:r>
      <w:r/>
    </w:p>
    <w:p>
      <w:pPr>
        <w:ind w:firstLine="540"/>
        <w:spacing w:line="48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30" w:name="_Toc28359005"/>
      <w:r>
        <w:rPr>
          <w:highlight w:val="none"/>
        </w:rPr>
      </w:r>
      <w:bookmarkStart w:id="31" w:name="_Toc28359082"/>
      <w:r>
        <w:rPr>
          <w:highlight w:val="none"/>
        </w:rPr>
      </w:r>
      <w:bookmarkStart w:id="32" w:name="_Toc38985266"/>
      <w:r>
        <w:rPr>
          <w:highlight w:val="none"/>
        </w:rPr>
      </w:r>
      <w:bookmarkStart w:id="33" w:name="_Toc35393624"/>
      <w:r>
        <w:rPr>
          <w:highlight w:val="none"/>
        </w:rPr>
      </w:r>
      <w:bookmarkStart w:id="34" w:name="_Toc35393793"/>
      <w:r>
        <w:rPr>
          <w:rFonts w:hint="eastAsia" w:ascii="仿宋" w:hAnsi="仿宋" w:eastAsia="仿宋" w:cs="宋体"/>
          <w:color w:val="000000" w:themeColor="text1"/>
          <w:sz w:val="28"/>
          <w:szCs w:val="28"/>
          <w:highlight w:val="none"/>
          <w14:textFill>
            <w14:solidFill>
              <w14:schemeClr w14:val="tx1"/>
            </w14:solidFill>
          </w14:textFill>
        </w:rPr>
        <w:t xml:space="preserve">1.时间</w:t>
      </w:r>
      <w:r>
        <w:rPr>
          <w:rFonts w:hint="eastAsia" w:ascii="仿宋" w:hAnsi="仿宋" w:eastAsia="仿宋" w:cs="宋体"/>
          <w:color w:val="000000" w:themeColor="text1"/>
          <w:sz w:val="28"/>
          <w:szCs w:val="28"/>
          <w:highlight w:val="none"/>
          <w14:textFill>
            <w14:solidFill>
              <w14:schemeClr w14:val="tx1"/>
            </w14:solidFill>
          </w14:textFill>
        </w:rPr>
        <w:t xml:space="preserve">：202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02</w:t>
      </w:r>
      <w:r>
        <w:rPr>
          <w:rFonts w:hint="eastAsia" w:ascii="仿宋" w:hAnsi="仿宋" w:eastAsia="仿宋" w:cs="宋体"/>
          <w:color w:val="000000" w:themeColor="text1"/>
          <w:sz w:val="28"/>
          <w:szCs w:val="28"/>
          <w:highlight w:val="none"/>
          <w14:textFill>
            <w14:solidFill>
              <w14:schemeClr w14:val="tx1"/>
            </w14:solidFill>
          </w14:textFill>
        </w:rPr>
        <w:t xml:space="preserve">日00:00至202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14:textFill>
            <w14:solidFill>
              <w14:schemeClr w14:val="tx1"/>
            </w14:solidFill>
          </w14:textFill>
        </w:rPr>
        <w:t xml:space="preserve">月08</w:t>
      </w:r>
      <w:r>
        <w:rPr>
          <w:rFonts w:hint="eastAsia" w:ascii="仿宋" w:hAnsi="仿宋" w:eastAsia="仿宋" w:cs="宋体"/>
          <w:color w:val="000000" w:themeColor="text1"/>
          <w:sz w:val="28"/>
          <w:szCs w:val="28"/>
          <w:highlight w:val="none"/>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23:59(北京时间，法定节假日除外)</w:t>
      </w:r>
      <w:r>
        <w:rPr>
          <w:highlight w:val="none"/>
        </w:rPr>
      </w:r>
      <w:r/>
    </w:p>
    <w:p>
      <w:pPr>
        <w:ind w:firstLine="540"/>
        <w:spacing w:line="480" w:lineRule="exact"/>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2.方式：在“江苏政府采购网”自行免费下载招标文件。</w:t>
      </w:r>
      <w:r>
        <w:rPr>
          <w:highlight w:val="none"/>
        </w:rPr>
      </w: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四、提交投标文件</w:t>
      </w:r>
      <w:bookmarkEnd w:id="30"/>
      <w:r>
        <w:rPr>
          <w:highlight w:val="none"/>
        </w:rPr>
      </w:r>
      <w:bookmarkEnd w:id="31"/>
      <w:r>
        <w:rPr>
          <w:rFonts w:hint="eastAsia" w:ascii="仿宋" w:hAnsi="仿宋" w:eastAsia="仿宋"/>
          <w:b/>
          <w:bCs/>
          <w:color w:val="000000" w:themeColor="text1"/>
          <w:sz w:val="28"/>
          <w:szCs w:val="28"/>
          <w:highlight w:val="none"/>
          <w14:textFill>
            <w14:solidFill>
              <w14:schemeClr w14:val="tx1"/>
            </w14:solidFill>
          </w14:textFill>
        </w:rPr>
        <w:t xml:space="preserve">截止时间、开标时间和地点</w:t>
      </w:r>
      <w:bookmarkEnd w:id="32"/>
      <w:r>
        <w:rPr>
          <w:highlight w:val="none"/>
        </w:rPr>
      </w:r>
      <w:bookmarkEnd w:id="33"/>
      <w:r>
        <w:rPr>
          <w:highlight w:val="none"/>
        </w:rPr>
      </w:r>
      <w:bookmarkEnd w:id="34"/>
      <w:r>
        <w:rPr>
          <w:highlight w:val="none"/>
        </w:rPr>
      </w:r>
      <w:r/>
    </w:p>
    <w:p>
      <w:pPr>
        <w:ind w:firstLine="560"/>
        <w:spacing w:line="480" w:lineRule="exact"/>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 xml:space="preserve">1.202</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5</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12</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22</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0分</w:t>
      </w:r>
      <w:r>
        <w:rPr>
          <w:rFonts w:hint="eastAsia" w:ascii="仿宋" w:hAnsi="仿宋" w:eastAsia="仿宋"/>
          <w:bCs/>
          <w:color w:val="000000" w:themeColor="text1"/>
          <w:sz w:val="28"/>
          <w:szCs w:val="28"/>
          <w:highlight w:val="none"/>
          <w14:textFill>
            <w14:solidFill>
              <w14:schemeClr w14:val="tx1"/>
            </w14:solidFill>
          </w14:textFill>
        </w:rPr>
        <w:t xml:space="preserve">（北京时间）</w:t>
      </w:r>
      <w:r>
        <w:rPr>
          <w:highlight w:val="none"/>
        </w:rPr>
      </w:r>
      <w:r/>
    </w:p>
    <w:p>
      <w:pPr>
        <w:ind w:firstLine="560"/>
        <w:spacing w:line="480" w:lineRule="exact"/>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2.地点：“苏采云”政府采购交易系统网上开标大厅</w:t>
      </w:r>
      <w:r>
        <w:rPr>
          <w:highlight w:val="none"/>
        </w:rPr>
      </w: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35" w:name="_Toc38985267"/>
      <w:r>
        <w:rPr>
          <w:highlight w:val="none"/>
        </w:rPr>
      </w:r>
      <w:bookmarkStart w:id="36" w:name="_Toc28359084"/>
      <w:r>
        <w:rPr>
          <w:highlight w:val="none"/>
        </w:rPr>
      </w:r>
      <w:bookmarkStart w:id="37" w:name="_Toc35393794"/>
      <w:r>
        <w:rPr>
          <w:highlight w:val="none"/>
        </w:rPr>
      </w:r>
      <w:bookmarkStart w:id="38" w:name="_Toc28359007"/>
      <w:r>
        <w:rPr>
          <w:highlight w:val="none"/>
        </w:rPr>
      </w:r>
      <w:bookmarkStart w:id="39" w:name="_Toc35393625"/>
      <w:r>
        <w:rPr>
          <w:rFonts w:hint="eastAsia" w:ascii="仿宋" w:hAnsi="仿宋" w:eastAsia="仿宋"/>
          <w:b/>
          <w:bCs/>
          <w:color w:val="000000" w:themeColor="text1"/>
          <w:sz w:val="28"/>
          <w:szCs w:val="28"/>
          <w:highlight w:val="none"/>
          <w14:textFill>
            <w14:solidFill>
              <w14:schemeClr w14:val="tx1"/>
            </w14:solidFill>
          </w14:textFill>
        </w:rPr>
        <w:t xml:space="preserve">五、公告期限</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spacing w:line="48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40" w:name="_Toc35393795"/>
      <w:r>
        <w:rPr>
          <w:highlight w:val="none"/>
        </w:rPr>
      </w:r>
      <w:bookmarkStart w:id="41" w:name="_Toc38985268"/>
      <w:r>
        <w:rPr>
          <w:highlight w:val="none"/>
        </w:rPr>
      </w:r>
      <w:bookmarkStart w:id="42" w:name="_Toc35393626"/>
      <w:r>
        <w:rPr>
          <w:rFonts w:hint="eastAsia" w:ascii="仿宋" w:hAnsi="仿宋" w:eastAsia="仿宋" w:cs="宋体"/>
          <w:color w:val="000000" w:themeColor="text1"/>
          <w:sz w:val="28"/>
          <w:szCs w:val="28"/>
          <w:highlight w:val="none"/>
          <w14:textFill>
            <w14:solidFill>
              <w14:schemeClr w14:val="tx1"/>
            </w14:solidFill>
          </w14:textFill>
        </w:rPr>
        <w:t xml:space="preserve">招标公告及招标文件公告期限为自本公告发布之日起5个工作日。</w:t>
      </w:r>
      <w:r>
        <w:rPr>
          <w:highlight w:val="none"/>
        </w:rPr>
      </w: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六、其他补充事宜</w:t>
      </w:r>
      <w:bookmarkEnd w:id="40"/>
      <w:r>
        <w:rPr>
          <w:highlight w:val="none"/>
        </w:rPr>
      </w:r>
      <w:bookmarkEnd w:id="41"/>
      <w:r>
        <w:rPr>
          <w:highlight w:val="none"/>
        </w:rPr>
      </w:r>
      <w:bookmarkEnd w:id="42"/>
      <w:r>
        <w:rPr>
          <w:highlight w:val="none"/>
        </w:rPr>
      </w: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ascii="仿宋" w:hAnsi="仿宋" w:eastAsia="仿宋" w:cs="宋体"/>
          <w:color w:val="000000" w:themeColor="text1"/>
          <w:sz w:val="28"/>
          <w:szCs w:val="28"/>
          <w:highlight w:val="none"/>
          <w14:textFill>
            <w14:solidFill>
              <w14:schemeClr w14:val="tx1"/>
            </w14:solidFill>
          </w14:textFill>
        </w:rPr>
        <w:t xml:space="preserve">投标保证金：免收</w:t>
      </w:r>
      <w:r>
        <w:rPr>
          <w:highlight w:val="none"/>
        </w:rPr>
      </w: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ascii="仿宋" w:hAnsi="仿宋" w:eastAsia="仿宋" w:cs="宋体"/>
          <w:color w:val="000000" w:themeColor="text1"/>
          <w:sz w:val="28"/>
          <w:szCs w:val="28"/>
          <w:highlight w:val="none"/>
          <w14:textFill>
            <w14:solidFill>
              <w14:schemeClr w14:val="tx1"/>
            </w14:solidFill>
          </w14:textFill>
        </w:rPr>
        <w:t xml:space="preserve">项目演示、样品、答辩等：</w:t>
      </w:r>
      <w:r>
        <w:rPr>
          <w:rFonts w:hint="eastAsia" w:ascii="仿宋" w:hAnsi="仿宋" w:eastAsia="仿宋" w:cs="宋体"/>
          <w:color w:val="000000" w:themeColor="text1"/>
          <w:sz w:val="28"/>
          <w:szCs w:val="28"/>
          <w:highlight w:val="none"/>
          <w14:textFill>
            <w14:solidFill>
              <w14:schemeClr w14:val="tx1"/>
            </w14:solidFill>
          </w14:textFill>
        </w:rPr>
        <w:t xml:space="preserve">详见采购文件</w:t>
      </w:r>
      <w:r>
        <w:rPr>
          <w:highlight w:val="none"/>
        </w:rPr>
      </w: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4.有关本次招标的事项若存在变动或修改，均以江苏政府采购网发布的更正或补充通知为准，敬请及时关注。</w:t>
      </w:r>
      <w:r>
        <w:rPr>
          <w:highlight w:val="none"/>
        </w:rPr>
      </w: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r/>
    </w:p>
    <w:p>
      <w:pPr>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6.“苏采云”系统使用相关提醒</w:t>
      </w:r>
      <w:r>
        <w:rPr>
          <w:highlight w:val="none"/>
        </w:rPr>
      </w:r>
      <w:r/>
    </w:p>
    <w:p>
      <w:pPr>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highlight w:val="none"/>
        </w:rPr>
      </w:r>
      <w:r/>
    </w:p>
    <w:p>
      <w:pPr>
        <w:ind w:right="119"/>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http://www.ccgp-jiangsu.gov.cn/jiangsu/zlxz/ee/ee3a4bc5a3454aa2b0d9312230633ce9.html。</w:t>
      </w:r>
      <w:r>
        <w:rPr>
          <w:highlight w:val="none"/>
        </w:rPr>
      </w:r>
      <w:r/>
    </w:p>
    <w:p>
      <w:pPr>
        <w:ind w:right="119" w:firstLine="560"/>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6.2领取CA和办理电子签章请至南通市政务服务中心裙楼四楼（南通市公共资源交</w:t>
      </w:r>
      <w:r>
        <w:rPr>
          <w:rFonts w:hint="eastAsia" w:ascii="仿宋" w:hAnsi="仿宋" w:eastAsia="仿宋" w:cs="宋体"/>
          <w:bCs/>
          <w:color w:val="000000" w:themeColor="text1"/>
          <w:sz w:val="28"/>
          <w:szCs w:val="28"/>
          <w:highlight w:val="none"/>
          <w:lang w:val="en-US" w:eastAsia="zh-CN"/>
          <w14:textFill>
            <w14:solidFill>
              <w14:schemeClr w14:val="tx1"/>
            </w14:solidFill>
          </w14:textFill>
        </w:rPr>
        <w:t xml:space="preserve">易</w:t>
      </w:r>
      <w:r>
        <w:rPr>
          <w:rFonts w:hint="eastAsia" w:ascii="仿宋" w:hAnsi="仿宋" w:eastAsia="仿宋" w:cs="宋体"/>
          <w:bCs/>
          <w:color w:val="000000" w:themeColor="text1"/>
          <w:sz w:val="28"/>
          <w:szCs w:val="28"/>
          <w:highlight w:val="none"/>
          <w14:textFill>
            <w14:solidFill>
              <w14:schemeClr w14:val="tx1"/>
            </w14:solidFill>
          </w14:textFill>
        </w:rPr>
        <w:t xml:space="preserve">中心）CA办理窗口办理，详见《江苏省政府采购数字证书(供应商)</w:t>
      </w:r>
      <w:r>
        <w:rPr>
          <w:rFonts w:hint="eastAsia" w:ascii="宋体" w:hAnsi="宋体" w:cs="宋体"/>
          <w:bCs/>
          <w:color w:val="000000" w:themeColor="text1"/>
          <w:sz w:val="28"/>
          <w:szCs w:val="28"/>
          <w:highlight w:val="non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 xml:space="preserve">CA</w:t>
      </w:r>
      <w:r>
        <w:rPr>
          <w:rFonts w:hint="eastAsia" w:ascii="仿宋" w:hAnsi="仿宋" w:eastAsia="仿宋" w:cs="宋体"/>
          <w:bCs/>
          <w:color w:val="000000" w:themeColor="text1"/>
          <w:sz w:val="28"/>
          <w:szCs w:val="28"/>
          <w:highlight w:val="none"/>
          <w14:textFill>
            <w14:solidFill>
              <w14:schemeClr w14:val="tx1"/>
            </w14:solidFill>
          </w14:textFill>
        </w:rPr>
        <w:t xml:space="preserve">及电子签章办理指南》），请及时进行注册并按要求制作、上传电子投标文件。</w:t>
      </w:r>
      <w:r>
        <w:rPr>
          <w:highlight w:val="none"/>
        </w:rPr>
      </w:r>
      <w:r/>
    </w:p>
    <w:p>
      <w:pPr>
        <w:ind w:right="119" w:firstLine="560"/>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14:textFill>
            <w14:solidFill>
              <w14:schemeClr w14:val="tx1"/>
            </w14:solidFill>
          </w14:textFill>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highlight w:val="none"/>
        </w:rPr>
      </w:r>
      <w:r/>
    </w:p>
    <w:p>
      <w:pPr>
        <w:keepLines/>
        <w:keepNext/>
        <w:spacing w:before="120" w:after="120"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43" w:name="_Toc35393627"/>
      <w:r>
        <w:rPr>
          <w:highlight w:val="none"/>
        </w:rPr>
      </w:r>
      <w:bookmarkStart w:id="44" w:name="_Toc35393796"/>
      <w:r>
        <w:rPr>
          <w:highlight w:val="none"/>
        </w:rPr>
      </w:r>
      <w:bookmarkStart w:id="45" w:name="_Toc28359085"/>
      <w:r>
        <w:rPr>
          <w:highlight w:val="none"/>
        </w:rPr>
      </w:r>
      <w:bookmarkStart w:id="46" w:name="_Toc38985269"/>
      <w:r>
        <w:rPr>
          <w:highlight w:val="none"/>
        </w:rPr>
      </w:r>
      <w:bookmarkStart w:id="47" w:name="_Toc28359008"/>
      <w:r>
        <w:rPr>
          <w:rFonts w:hint="eastAsia" w:ascii="仿宋" w:hAnsi="仿宋" w:eastAsia="仿宋"/>
          <w:b/>
          <w:bCs/>
          <w:color w:val="000000" w:themeColor="text1"/>
          <w:sz w:val="28"/>
          <w:szCs w:val="28"/>
          <w:highlight w:val="none"/>
          <w14:textFill>
            <w14:solidFill>
              <w14:schemeClr w14:val="tx1"/>
            </w14:solidFill>
          </w14:textFill>
        </w:rPr>
        <w:t xml:space="preserve">七、本次招标联系方式</w:t>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r/>
    </w:p>
    <w:p>
      <w:pPr>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1.采购人信息</w:t>
      </w:r>
      <w:r>
        <w:rPr>
          <w:highlight w:val="none"/>
        </w:rPr>
      </w:r>
      <w:r/>
    </w:p>
    <w:p>
      <w:pPr>
        <w:ind w:firstLine="280"/>
        <w:jc w:val="lef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名称：江苏省南通中学</w:t>
      </w:r>
      <w:r>
        <w:rPr>
          <w:highlight w:val="none"/>
        </w:rPr>
      </w:r>
      <w:r/>
    </w:p>
    <w:p>
      <w:pPr>
        <w:ind w:firstLine="280"/>
        <w:jc w:val="lef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地址：南通市中学堂街9号</w:t>
      </w:r>
      <w:r>
        <w:rPr>
          <w:highlight w:val="none"/>
        </w:rPr>
      </w:r>
      <w:r/>
    </w:p>
    <w:p>
      <w:pPr>
        <w:ind w:firstLine="280"/>
        <w:jc w:val="lef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朱</w:t>
      </w:r>
      <w:r>
        <w:rPr>
          <w:rFonts w:hint="eastAsia" w:ascii="仿宋" w:hAnsi="仿宋" w:eastAsia="仿宋"/>
          <w:color w:val="000000" w:themeColor="text1"/>
          <w:sz w:val="28"/>
          <w:szCs w:val="28"/>
          <w:highlight w:val="none"/>
          <w14:textFill>
            <w14:solidFill>
              <w14:schemeClr w14:val="tx1"/>
            </w14:solidFill>
          </w14:textFill>
        </w:rPr>
        <w:t xml:space="preserve">老师</w:t>
      </w:r>
      <w:r>
        <w:rPr>
          <w:highlight w:val="none"/>
        </w:rPr>
      </w:r>
      <w:r/>
    </w:p>
    <w:p>
      <w:pPr>
        <w:ind w:firstLine="2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8" w:name="_Toc28359086"/>
      <w:r>
        <w:rPr>
          <w:highlight w:val="none"/>
        </w:rPr>
      </w:r>
      <w:bookmarkStart w:id="49" w:name="_Toc28359009"/>
      <w:r>
        <w:rPr>
          <w:rFonts w:hint="eastAsia" w:ascii="仿宋" w:hAnsi="仿宋" w:eastAsia="仿宋"/>
          <w:color w:val="000000" w:themeColor="text1"/>
          <w:sz w:val="28"/>
          <w:szCs w:val="28"/>
          <w:highlight w:val="none"/>
          <w:lang w:val="en-US" w:eastAsia="zh-CN"/>
          <w14:textFill>
            <w14:solidFill>
              <w14:schemeClr w14:val="tx1"/>
            </w14:solidFill>
          </w14:textFill>
        </w:rPr>
        <w:t xml:space="preserve"> 0513-85129218</w:t>
      </w:r>
      <w:r>
        <w:rPr>
          <w:highlight w:val="none"/>
        </w:rPr>
      </w:r>
      <w:r/>
    </w:p>
    <w:p>
      <w:pPr>
        <w:numPr>
          <w:ilvl w:val="0"/>
          <w:numId w:val="0"/>
        </w:numPr>
        <w:ind w:firstLine="280"/>
        <w:jc w:val="left"/>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2.采购代理机构</w:t>
      </w:r>
      <w:r>
        <w:rPr>
          <w:rFonts w:hint="eastAsia" w:ascii="仿宋" w:hAnsi="仿宋" w:eastAsia="仿宋" w:cs="宋体"/>
          <w:color w:val="000000" w:themeColor="text1"/>
          <w:sz w:val="28"/>
          <w:szCs w:val="28"/>
          <w:highlight w:val="none"/>
          <w14:textFill>
            <w14:solidFill>
              <w14:schemeClr w14:val="tx1"/>
            </w14:solidFill>
          </w14:textFill>
        </w:rPr>
        <w:t xml:space="preserve">信息</w:t>
      </w:r>
      <w:bookmarkEnd w:id="48"/>
      <w:r>
        <w:rPr>
          <w:highlight w:val="none"/>
        </w:rPr>
      </w:r>
      <w:bookmarkEnd w:id="49"/>
      <w:r>
        <w:rPr>
          <w:highlight w:val="none"/>
        </w:rPr>
      </w:r>
      <w:r/>
    </w:p>
    <w:p>
      <w:pPr>
        <w:numPr>
          <w:ilvl w:val="0"/>
          <w:numId w:val="0"/>
        </w:numPr>
        <w:ind w:firstLine="280"/>
        <w:jc w:val="left"/>
        <w:spacing w:line="48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名称：南通市教育技术中心</w:t>
      </w:r>
      <w:r>
        <w:rPr>
          <w:highlight w:val="none"/>
        </w:rPr>
      </w:r>
      <w:r/>
    </w:p>
    <w:p>
      <w:pPr>
        <w:ind w:firstLine="28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ascii="仿宋" w:hAnsi="仿宋" w:eastAsia="仿宋"/>
          <w:color w:val="000000" w:themeColor="text1"/>
          <w:sz w:val="28"/>
          <w:szCs w:val="28"/>
          <w:highlight w:val="none"/>
          <w14:textFill>
            <w14:solidFill>
              <w14:schemeClr w14:val="tx1"/>
            </w14:solidFill>
          </w14:textFill>
        </w:rPr>
        <w:t xml:space="preserve">南通市</w:t>
      </w:r>
      <w:r>
        <w:rPr>
          <w:rFonts w:hint="eastAsia" w:ascii="仿宋" w:hAnsi="仿宋" w:eastAsia="仿宋"/>
          <w:color w:val="000000" w:themeColor="text1"/>
          <w:sz w:val="28"/>
          <w:szCs w:val="28"/>
          <w:highlight w:val="none"/>
          <w14:textFill>
            <w14:solidFill>
              <w14:schemeClr w14:val="tx1"/>
            </w14:solidFill>
          </w14:textFill>
        </w:rPr>
        <w:t xml:space="preserve">崇川区板桥路45号</w:t>
      </w:r>
      <w:r>
        <w:rPr>
          <w:highlight w:val="none"/>
        </w:rPr>
      </w:r>
      <w:r/>
    </w:p>
    <w:p>
      <w:pPr>
        <w:ind w:firstLine="2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成天驰</w:t>
      </w:r>
      <w:r>
        <w:rPr>
          <w:highlight w:val="none"/>
        </w:rPr>
      </w:r>
      <w:r/>
    </w:p>
    <w:p>
      <w:pPr>
        <w:ind w:firstLine="280"/>
        <w:spacing w:line="48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50" w:name="_Toc28359010"/>
      <w:r>
        <w:rPr>
          <w:highlight w:val="none"/>
        </w:rPr>
      </w:r>
      <w:bookmarkStart w:id="51" w:name="_Toc28359087"/>
      <w:r>
        <w:rPr>
          <w:rFonts w:hint="eastAsia" w:ascii="仿宋" w:hAnsi="仿宋" w:eastAsia="仿宋"/>
          <w:color w:val="000000" w:themeColor="text1"/>
          <w:sz w:val="28"/>
          <w:szCs w:val="28"/>
          <w:highlight w:val="none"/>
          <w14:textFill>
            <w14:solidFill>
              <w14:schemeClr w14:val="tx1"/>
            </w14:solidFill>
          </w14:textFill>
        </w:rPr>
        <w:t xml:space="preserve">0513-85010355</w:t>
      </w:r>
      <w:r>
        <w:rPr>
          <w:highlight w:val="none"/>
        </w:rPr>
      </w:r>
      <w:r/>
    </w:p>
    <w:p>
      <w:pPr>
        <w:ind w:firstLine="2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3.软件技术支持：0519-86722801</w:t>
      </w:r>
      <w:bookmarkEnd w:id="50"/>
      <w:r>
        <w:rPr>
          <w:highlight w:val="none"/>
        </w:rPr>
      </w:r>
      <w:bookmarkEnd w:id="51"/>
      <w:r>
        <w:rPr>
          <w:highlight w:val="none"/>
        </w:rPr>
      </w:r>
      <w:r/>
    </w:p>
    <w:p>
      <w:pPr>
        <w:rPr>
          <w:rFonts w:hint="eastAsia" w:ascii="黑体" w:hAnsi="Arial" w:eastAsia="黑体" w:cs="Arial"/>
          <w:b/>
          <w:bCs/>
          <w:color w:val="000000" w:themeColor="text1"/>
          <w:sz w:val="44"/>
          <w:szCs w:val="44"/>
          <w:highlight w:val="none"/>
          <w14:textFill>
            <w14:solidFill>
              <w14:schemeClr w14:val="tx1"/>
            </w14:solidFill>
          </w14:textFill>
        </w:rPr>
      </w:pPr>
      <w:r>
        <w:rPr>
          <w:highlight w:val="none"/>
        </w:rPr>
      </w:r>
      <w:bookmarkStart w:id="52" w:name="_Toc120614211"/>
      <w:r>
        <w:rPr>
          <w:highlight w:val="none"/>
        </w:rPr>
      </w:r>
      <w:bookmarkStart w:id="53" w:name="_Toc171068951"/>
      <w:r>
        <w:rPr>
          <w:rFonts w:hint="eastAsia" w:ascii="黑体" w:hAnsi="Arial" w:eastAsia="黑体" w:cs="Arial"/>
          <w:b/>
          <w:bCs/>
          <w:color w:val="000000" w:themeColor="text1"/>
          <w:sz w:val="44"/>
          <w:szCs w:val="44"/>
          <w:highlight w:val="none"/>
          <w14:textFill>
            <w14:solidFill>
              <w14:schemeClr w14:val="tx1"/>
            </w14:solidFill>
          </w14:textFill>
        </w:rPr>
        <w:br w:type="page" w:clear="all"/>
      </w:r>
      <w:r>
        <w:rPr>
          <w:highlight w:val="none"/>
        </w:rPr>
      </w:r>
      <w:r/>
    </w:p>
    <w:p>
      <w:pPr>
        <w:ind w:right="839"/>
        <w:jc w:val="center"/>
        <w:rPr>
          <w:rFonts w:hint="eastAsia" w:ascii="黑体" w:hAnsi="Arial" w:eastAsia="黑体" w:cs="Arial"/>
          <w:color w:val="000000" w:themeColor="text1"/>
          <w:sz w:val="44"/>
          <w:szCs w:val="44"/>
          <w:highlight w:val="none"/>
          <w14:textFill>
            <w14:solidFill>
              <w14:schemeClr w14:val="tx1"/>
            </w14:solidFill>
          </w14:textFill>
        </w:rPr>
        <w:outlineLvl w:val="0"/>
      </w:pPr>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52"/>
      <w:r>
        <w:rPr>
          <w:highlight w:val="none"/>
        </w:rPr>
      </w:r>
      <w:bookmarkStart w:id="54" w:name="_Toc16938518"/>
      <w:r>
        <w:rPr>
          <w:highlight w:val="none"/>
        </w:rPr>
      </w:r>
      <w:bookmarkStart w:id="55" w:name="_Toc20823274"/>
      <w:r>
        <w:rPr>
          <w:highlight w:val="none"/>
        </w:rPr>
      </w:r>
      <w:bookmarkStart w:id="56" w:name="_Toc513029202"/>
      <w:r>
        <w:rPr>
          <w:highlight w:val="none"/>
        </w:rPr>
      </w:r>
      <w:bookmarkStart w:id="57" w:name="_Toc120614213"/>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r/>
    </w:p>
    <w:p>
      <w:pPr>
        <w:keepLines/>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58" w:name="_Toc20823275"/>
      <w:r>
        <w:rPr>
          <w:highlight w:val="none"/>
        </w:rPr>
      </w:r>
      <w:bookmarkStart w:id="59" w:name="_Toc120614214"/>
      <w:r>
        <w:rPr>
          <w:highlight w:val="none"/>
        </w:rPr>
      </w:r>
      <w:bookmarkStart w:id="60" w:name="_Toc513029203"/>
      <w:r>
        <w:rPr>
          <w:highlight w:val="none"/>
        </w:rPr>
      </w:r>
      <w:bookmarkStart w:id="61" w:name="_Toc16938519"/>
      <w:r>
        <w:rPr>
          <w:rFonts w:ascii="仿宋" w:hAnsi="仿宋" w:eastAsia="仿宋"/>
          <w:b/>
          <w:bCs/>
          <w:color w:val="000000" w:themeColor="text1"/>
          <w:sz w:val="28"/>
          <w:szCs w:val="28"/>
          <w:highlight w:val="none"/>
          <w14:textFill>
            <w14:solidFill>
              <w14:schemeClr w14:val="tx1"/>
            </w14:solidFill>
          </w14:textFill>
        </w:rPr>
        <w:t xml:space="preserve">（一）总则</w:t>
      </w:r>
      <w:bookmarkEnd w:id="58"/>
      <w:r>
        <w:rPr>
          <w:highlight w:val="none"/>
        </w:rPr>
      </w:r>
      <w:bookmarkEnd w:id="59"/>
      <w:r>
        <w:rPr>
          <w:highlight w:val="none"/>
        </w:rPr>
      </w:r>
      <w:bookmarkEnd w:id="60"/>
      <w:r>
        <w:rPr>
          <w:highlight w:val="none"/>
        </w:rPr>
      </w:r>
      <w:bookmarkEnd w:id="61"/>
      <w:r>
        <w:rPr>
          <w:highlight w:val="none"/>
        </w:rPr>
      </w: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2" w:name="_Hlt16619475"/>
      <w:r>
        <w:rPr>
          <w:highlight w:val="none"/>
        </w:rPr>
      </w:r>
      <w:bookmarkEnd w:id="62"/>
      <w:r>
        <w:rPr>
          <w:highlight w:val="none"/>
        </w:rPr>
      </w:r>
      <w:bookmarkStart w:id="63" w:name="_Toc458694821"/>
      <w:r>
        <w:rPr>
          <w:highlight w:val="none"/>
        </w:rPr>
      </w:r>
      <w:bookmarkStart w:id="64" w:name="_Toc16938520"/>
      <w:r>
        <w:rPr>
          <w:highlight w:val="none"/>
        </w:rPr>
      </w:r>
      <w:bookmarkStart w:id="65" w:name="_Toc513029204"/>
      <w:r>
        <w:rPr>
          <w:highlight w:val="none"/>
        </w:rPr>
      </w:r>
      <w:bookmarkStart w:id="66" w:name="_Toc20823276"/>
      <w:r>
        <w:rPr>
          <w:rFonts w:ascii="仿宋" w:hAnsi="仿宋" w:eastAsia="仿宋"/>
          <w:color w:val="000000" w:themeColor="text1"/>
          <w:sz w:val="28"/>
          <w:szCs w:val="28"/>
          <w:highlight w:val="none"/>
          <w14:textFill>
            <w14:solidFill>
              <w14:schemeClr w14:val="tx1"/>
            </w14:solidFill>
          </w14:textFill>
        </w:rPr>
        <w:t xml:space="preserve">1</w:t>
      </w:r>
      <w:bookmarkEnd w:id="63"/>
      <w:r>
        <w:rPr>
          <w:rFonts w:ascii="仿宋" w:hAnsi="仿宋" w:eastAsia="仿宋"/>
          <w:color w:val="000000" w:themeColor="text1"/>
          <w:sz w:val="28"/>
          <w:szCs w:val="28"/>
          <w:highlight w:val="none"/>
          <w14:textFill>
            <w14:solidFill>
              <w14:schemeClr w14:val="tx1"/>
            </w14:solidFill>
          </w14:textFill>
        </w:rPr>
        <w:t xml:space="preserve">.招标方式</w:t>
      </w:r>
      <w:bookmarkEnd w:id="64"/>
      <w:r>
        <w:rPr>
          <w:highlight w:val="none"/>
        </w:rPr>
      </w:r>
      <w:bookmarkEnd w:id="65"/>
      <w:r>
        <w:rPr>
          <w:highlight w:val="none"/>
        </w:rPr>
      </w:r>
      <w:bookmarkEnd w:id="66"/>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rPr>
          <w:highlight w:val="none"/>
        </w:rPr>
      </w: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7" w:name="_Toc513029205"/>
      <w:r>
        <w:rPr>
          <w:highlight w:val="none"/>
        </w:rPr>
      </w:r>
      <w:bookmarkStart w:id="68" w:name="_Toc20823277"/>
      <w:r>
        <w:rPr>
          <w:highlight w:val="none"/>
        </w:rPr>
      </w:r>
      <w:bookmarkStart w:id="69" w:name="_Toc16938521"/>
      <w:r>
        <w:rPr>
          <w:rFonts w:ascii="仿宋" w:hAnsi="仿宋" w:eastAsia="仿宋"/>
          <w:color w:val="000000" w:themeColor="text1"/>
          <w:sz w:val="28"/>
          <w:szCs w:val="28"/>
          <w:highlight w:val="none"/>
          <w14:textFill>
            <w14:solidFill>
              <w14:schemeClr w14:val="tx1"/>
            </w14:solidFill>
          </w14:textFill>
        </w:rPr>
        <w:t xml:space="preserve">2.合格的投标人</w:t>
      </w:r>
      <w:bookmarkEnd w:id="67"/>
      <w:r>
        <w:rPr>
          <w:highlight w:val="none"/>
        </w:rPr>
      </w:r>
      <w:bookmarkEnd w:id="68"/>
      <w:r>
        <w:rPr>
          <w:highlight w:val="none"/>
        </w:rPr>
      </w:r>
      <w:bookmarkEnd w:id="69"/>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2.1满足招标公告中供应商的资格要求的规定。</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2.2 满足本文件实质性条款的规定。</w:t>
      </w:r>
      <w:r>
        <w:rPr>
          <w:highlight w:val="none"/>
        </w:rPr>
      </w: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70" w:name="_Toc16938522"/>
      <w:r>
        <w:rPr>
          <w:highlight w:val="none"/>
        </w:rPr>
      </w:r>
      <w:bookmarkStart w:id="71" w:name="_Toc20823278"/>
      <w:r>
        <w:rPr>
          <w:highlight w:val="none"/>
        </w:rPr>
      </w:r>
      <w:bookmarkStart w:id="72" w:name="_Toc513029206"/>
      <w:r>
        <w:rPr>
          <w:rFonts w:ascii="仿宋" w:hAnsi="仿宋" w:eastAsia="仿宋"/>
          <w:color w:val="000000" w:themeColor="text1"/>
          <w:sz w:val="28"/>
          <w:szCs w:val="28"/>
          <w:highlight w:val="none"/>
          <w14:textFill>
            <w14:solidFill>
              <w14:schemeClr w14:val="tx1"/>
            </w14:solidFill>
          </w14:textFill>
        </w:rPr>
        <w:t xml:space="preserve">3.适用法律</w:t>
      </w:r>
      <w:bookmarkEnd w:id="70"/>
      <w:r>
        <w:rPr>
          <w:highlight w:val="none"/>
        </w:rPr>
      </w:r>
      <w:bookmarkEnd w:id="71"/>
      <w:r>
        <w:rPr>
          <w:highlight w:val="none"/>
        </w:rPr>
      </w:r>
      <w:bookmarkEnd w:id="72"/>
      <w:r>
        <w:rPr>
          <w:highlight w:val="none"/>
        </w:rPr>
      </w:r>
      <w:r/>
    </w:p>
    <w:p>
      <w:pPr>
        <w:ind w:firstLine="49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rPr>
          <w:highlight w:val="none"/>
        </w:rPr>
      </w: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73" w:name="_Toc513029207"/>
      <w:r>
        <w:rPr>
          <w:highlight w:val="none"/>
        </w:rPr>
      </w:r>
      <w:bookmarkStart w:id="74" w:name="_Toc462564067"/>
      <w:r>
        <w:rPr>
          <w:highlight w:val="none"/>
        </w:rPr>
      </w:r>
      <w:bookmarkStart w:id="75" w:name="_Toc20823279"/>
      <w:r>
        <w:rPr>
          <w:highlight w:val="none"/>
        </w:rPr>
      </w:r>
      <w:bookmarkStart w:id="76" w:name="_Toc16938523"/>
      <w:r>
        <w:rPr>
          <w:rFonts w:ascii="仿宋" w:hAnsi="仿宋" w:eastAsia="仿宋"/>
          <w:color w:val="000000" w:themeColor="text1"/>
          <w:sz w:val="28"/>
          <w:szCs w:val="28"/>
          <w:highlight w:val="none"/>
          <w14:textFill>
            <w14:solidFill>
              <w14:schemeClr w14:val="tx1"/>
            </w14:solidFill>
          </w14:textFill>
        </w:rPr>
        <w:t xml:space="preserve">4.投标费用</w:t>
      </w:r>
      <w:bookmarkEnd w:id="73"/>
      <w:r>
        <w:rPr>
          <w:highlight w:val="none"/>
        </w:rPr>
      </w:r>
      <w:bookmarkEnd w:id="74"/>
      <w:r>
        <w:rPr>
          <w:highlight w:val="none"/>
        </w:rPr>
      </w:r>
      <w:bookmarkEnd w:id="75"/>
      <w:r>
        <w:rPr>
          <w:highlight w:val="none"/>
        </w:rPr>
      </w:r>
      <w:bookmarkEnd w:id="76"/>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4.2本次招标</w:t>
      </w:r>
      <w:r>
        <w:rPr>
          <w:rFonts w:hint="eastAsia" w:ascii="仿宋" w:hAnsi="仿宋" w:eastAsia="仿宋"/>
          <w:color w:val="000000" w:themeColor="text1"/>
          <w:sz w:val="28"/>
          <w:szCs w:val="28"/>
          <w:highlight w:val="none"/>
          <w14:textFill>
            <w14:solidFill>
              <w14:schemeClr w14:val="tx1"/>
            </w14:solidFill>
          </w14:textFill>
        </w:rPr>
        <w:t xml:space="preserve">南通市教育技术</w:t>
      </w:r>
      <w:r>
        <w:rPr>
          <w:rFonts w:ascii="仿宋" w:hAnsi="仿宋" w:eastAsia="仿宋"/>
          <w:color w:val="000000" w:themeColor="text1"/>
          <w:sz w:val="28"/>
          <w:szCs w:val="28"/>
          <w:highlight w:val="none"/>
          <w14:textFill>
            <w14:solidFill>
              <w14:schemeClr w14:val="tx1"/>
            </w14:solidFill>
          </w14:textFill>
        </w:rPr>
        <w:t xml:space="preserve">中心和采购人不收取标书工本费与中标服务费。</w:t>
      </w:r>
      <w:r>
        <w:rPr>
          <w:highlight w:val="none"/>
        </w:rPr>
      </w:r>
      <w:r/>
    </w:p>
    <w:p>
      <w:pPr>
        <w:keepNext/>
        <w:spacing w:line="480" w:lineRule="exact"/>
        <w:rPr>
          <w:rFonts w:ascii="仿宋" w:hAnsi="仿宋" w:eastAsia="仿宋"/>
          <w:b/>
          <w:bCs/>
          <w:color w:val="000000" w:themeColor="text1"/>
          <w:sz w:val="28"/>
          <w:szCs w:val="28"/>
          <w:highlight w:val="none"/>
          <w14:textFill>
            <w14:solidFill>
              <w14:schemeClr w14:val="tx1"/>
            </w14:solidFill>
          </w14:textFill>
        </w:rPr>
        <w:outlineLvl w:val="3"/>
      </w:pPr>
      <w:r>
        <w:rPr>
          <w:rFonts w:ascii="仿宋" w:hAnsi="仿宋" w:eastAsia="仿宋"/>
          <w:color w:val="000000" w:themeColor="text1"/>
          <w:sz w:val="28"/>
          <w:szCs w:val="28"/>
          <w:highlight w:val="none"/>
          <w14:textFill>
            <w14:solidFill>
              <w14:schemeClr w14:val="tx1"/>
            </w14:solidFill>
          </w14:textFill>
        </w:rPr>
        <w:t xml:space="preserve">5.招标文件的约束力</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r>
        <w:rPr>
          <w:highlight w:val="none"/>
        </w:rPr>
      </w: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77" w:name="_Toc513029209"/>
      <w:r>
        <w:rPr>
          <w:highlight w:val="none"/>
        </w:rPr>
      </w:r>
      <w:bookmarkStart w:id="78" w:name="_Toc20823281"/>
      <w:r>
        <w:rPr>
          <w:highlight w:val="none"/>
        </w:rPr>
      </w:r>
      <w:bookmarkStart w:id="79" w:name="_Toc120614215"/>
      <w:r>
        <w:rPr>
          <w:highlight w:val="none"/>
        </w:rPr>
      </w:r>
      <w:bookmarkStart w:id="80" w:name="_Toc16938525"/>
      <w:r>
        <w:rPr>
          <w:rFonts w:hint="eastAsia" w:ascii="仿宋" w:hAnsi="仿宋" w:eastAsia="仿宋"/>
          <w:b/>
          <w:bCs/>
          <w:color w:val="000000" w:themeColor="text1"/>
          <w:sz w:val="28"/>
          <w:szCs w:val="28"/>
          <w:highlight w:val="none"/>
          <w14:textFill>
            <w14:solidFill>
              <w14:schemeClr w14:val="tx1"/>
            </w14:solidFill>
          </w14:textFill>
        </w:rPr>
        <w:t xml:space="preserve">二、招标文件</w:t>
      </w:r>
      <w:bookmarkEnd w:id="77"/>
      <w:r>
        <w:rPr>
          <w:highlight w:val="none"/>
        </w:rPr>
      </w:r>
      <w:bookmarkEnd w:id="78"/>
      <w:r>
        <w:rPr>
          <w:highlight w:val="none"/>
        </w:rPr>
      </w:r>
      <w:bookmarkEnd w:id="79"/>
      <w:r>
        <w:rPr>
          <w:highlight w:val="none"/>
        </w:rPr>
      </w:r>
      <w:bookmarkEnd w:id="80"/>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1" w:name="_Toc20823282"/>
      <w:r>
        <w:rPr>
          <w:highlight w:val="none"/>
        </w:rPr>
      </w:r>
      <w:bookmarkStart w:id="82" w:name="_Toc513029210"/>
      <w:r>
        <w:rPr>
          <w:highlight w:val="none"/>
        </w:rPr>
      </w:r>
      <w:bookmarkStart w:id="83" w:name="_Toc16938526"/>
      <w:r>
        <w:rPr>
          <w:rFonts w:hint="eastAsia" w:ascii="仿宋" w:hAnsi="仿宋" w:eastAsia="仿宋" w:cs="Arial"/>
          <w:color w:val="000000" w:themeColor="text1"/>
          <w:sz w:val="28"/>
          <w:szCs w:val="28"/>
          <w:highlight w:val="none"/>
          <w:lang w:eastAsia="zh-CN"/>
          <w14:textFill>
            <w14:solidFill>
              <w14:schemeClr w14:val="tx1"/>
            </w14:solidFill>
          </w14:textFill>
        </w:rPr>
        <w:t xml:space="preserve">6.</w:t>
      </w:r>
      <w:r>
        <w:rPr>
          <w:rFonts w:hint="eastAsia" w:ascii="仿宋" w:hAnsi="仿宋" w:eastAsia="仿宋" w:cs="Arial"/>
          <w:color w:val="000000" w:themeColor="text1"/>
          <w:sz w:val="28"/>
          <w:szCs w:val="28"/>
          <w:highlight w:val="none"/>
          <w14:textFill>
            <w14:solidFill>
              <w14:schemeClr w14:val="tx1"/>
            </w14:solidFill>
          </w14:textFill>
        </w:rPr>
        <w:t xml:space="preserve">招标文件构成</w:t>
      </w:r>
      <w:bookmarkEnd w:id="81"/>
      <w:r>
        <w:rPr>
          <w:highlight w:val="none"/>
        </w:rPr>
      </w:r>
      <w:bookmarkEnd w:id="82"/>
      <w:r>
        <w:rPr>
          <w:highlight w:val="none"/>
        </w:rPr>
      </w:r>
      <w:bookmarkEnd w:id="83"/>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w:t>
      </w:r>
      <w:r>
        <w:rPr>
          <w:rFonts w:ascii="仿宋" w:hAnsi="仿宋" w:eastAsia="仿宋"/>
          <w:color w:val="000000" w:themeColor="text1"/>
          <w:sz w:val="28"/>
          <w:szCs w:val="28"/>
          <w:highlight w:val="none"/>
          <w14:textFill>
            <w14:solidFill>
              <w14:schemeClr w14:val="tx1"/>
            </w14:solidFill>
          </w14:textFill>
        </w:rPr>
        <w:t xml:space="preserve">邀请</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（2）投标人须知</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（3）合同文本</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（4）采购需求</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（5）评标方法与评标标准</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（6）投标文件格式</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请仔细检查招标文件是否齐全，如有缺漏请立即与南通市教育技术中心联系解决。</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4" w:name="_Toc513029211"/>
      <w:r>
        <w:rPr>
          <w:highlight w:val="none"/>
        </w:rPr>
      </w:r>
      <w:bookmarkStart w:id="85" w:name="_Toc16938527"/>
      <w:r>
        <w:rPr>
          <w:highlight w:val="none"/>
        </w:rPr>
      </w:r>
      <w:bookmarkStart w:id="86" w:name="_Toc462564070"/>
      <w:r>
        <w:rPr>
          <w:highlight w:val="none"/>
        </w:rPr>
      </w:r>
      <w:bookmarkStart w:id="87" w:name="_Toc20823283"/>
      <w:r>
        <w:rPr>
          <w:rFonts w:hint="eastAsia" w:ascii="仿宋" w:hAnsi="仿宋" w:eastAsia="仿宋" w:cs="Arial"/>
          <w:color w:val="000000" w:themeColor="text1"/>
          <w:sz w:val="28"/>
          <w:szCs w:val="28"/>
          <w:highlight w:val="none"/>
          <w:lang w:eastAsia="zh-CN"/>
          <w14:textFill>
            <w14:solidFill>
              <w14:schemeClr w14:val="tx1"/>
            </w14:solidFill>
          </w14:textFill>
        </w:rPr>
        <w:t xml:space="preserve">7.</w:t>
      </w:r>
      <w:r>
        <w:rPr>
          <w:rFonts w:hint="eastAsia" w:ascii="仿宋" w:hAnsi="仿宋" w:eastAsia="仿宋" w:cs="Arial"/>
          <w:color w:val="000000" w:themeColor="text1"/>
          <w:sz w:val="28"/>
          <w:szCs w:val="28"/>
          <w:highlight w:val="none"/>
          <w14:textFill>
            <w14:solidFill>
              <w14:schemeClr w14:val="tx1"/>
            </w14:solidFill>
          </w14:textFill>
        </w:rPr>
        <w:t xml:space="preserve">招标文件的澄清</w:t>
      </w:r>
      <w:bookmarkEnd w:id="84"/>
      <w:r>
        <w:rPr>
          <w:highlight w:val="none"/>
        </w:rPr>
      </w:r>
      <w:bookmarkEnd w:id="85"/>
      <w:r>
        <w:rPr>
          <w:highlight w:val="none"/>
        </w:rPr>
      </w:r>
      <w:bookmarkEnd w:id="86"/>
      <w:r>
        <w:rPr>
          <w:highlight w:val="none"/>
        </w:rPr>
      </w:r>
      <w:bookmarkEnd w:id="87"/>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 xml:space="preserve">十日</w:t>
      </w:r>
      <w:r>
        <w:rPr>
          <w:rFonts w:hint="eastAsia" w:ascii="仿宋" w:hAnsi="仿宋" w:eastAsia="仿宋"/>
          <w:color w:val="000000" w:themeColor="text1"/>
          <w:sz w:val="28"/>
          <w:szCs w:val="28"/>
          <w:highlight w:val="none"/>
          <w14:textFill>
            <w14:solidFill>
              <w14:schemeClr w14:val="tx1"/>
            </w14:solidFill>
          </w14:textFill>
        </w:rPr>
        <w:t xml:space="preserve">前按招标公告中的通讯地址，以书面形式通知南通市教育技术中心。采购人有权对发出的招标文件进行必要的澄清或修改。</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8" w:name="_Toc462564071"/>
      <w:r>
        <w:rPr>
          <w:highlight w:val="none"/>
        </w:rPr>
      </w:r>
      <w:bookmarkStart w:id="89" w:name="_Toc513029212"/>
      <w:r>
        <w:rPr>
          <w:highlight w:val="none"/>
        </w:rPr>
      </w:r>
      <w:bookmarkStart w:id="90" w:name="_Toc16938528"/>
      <w:r>
        <w:rPr>
          <w:highlight w:val="none"/>
        </w:rPr>
      </w:r>
      <w:bookmarkStart w:id="91" w:name="_Toc20823284"/>
      <w:r>
        <w:rPr>
          <w:rFonts w:hint="eastAsia" w:ascii="仿宋" w:hAnsi="仿宋" w:eastAsia="仿宋" w:cs="Arial"/>
          <w:color w:val="000000" w:themeColor="text1"/>
          <w:sz w:val="28"/>
          <w:szCs w:val="28"/>
          <w:highlight w:val="none"/>
          <w:lang w:eastAsia="zh-CN"/>
          <w14:textFill>
            <w14:solidFill>
              <w14:schemeClr w14:val="tx1"/>
            </w14:solidFill>
          </w14:textFill>
        </w:rPr>
        <w:t xml:space="preserve">8.</w:t>
      </w:r>
      <w:r>
        <w:rPr>
          <w:rFonts w:hint="eastAsia" w:ascii="仿宋" w:hAnsi="仿宋" w:eastAsia="仿宋" w:cs="Arial"/>
          <w:color w:val="000000" w:themeColor="text1"/>
          <w:sz w:val="28"/>
          <w:szCs w:val="28"/>
          <w:highlight w:val="none"/>
          <w14:textFill>
            <w14:solidFill>
              <w14:schemeClr w14:val="tx1"/>
            </w14:solidFill>
          </w14:textFill>
        </w:rPr>
        <w:t xml:space="preserve">招标文件的修改</w:t>
      </w:r>
      <w:bookmarkEnd w:id="88"/>
      <w:r>
        <w:rPr>
          <w:highlight w:val="none"/>
        </w:rPr>
      </w:r>
      <w:bookmarkEnd w:id="89"/>
      <w:r>
        <w:rPr>
          <w:highlight w:val="none"/>
        </w:rPr>
      </w:r>
      <w:bookmarkEnd w:id="90"/>
      <w:r>
        <w:rPr>
          <w:highlight w:val="none"/>
        </w:rPr>
      </w:r>
      <w:bookmarkEnd w:id="91"/>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间之</w:t>
      </w:r>
      <w:r>
        <w:rPr>
          <w:rFonts w:hint="eastAsia" w:ascii="仿宋" w:hAnsi="仿宋" w:eastAsia="仿宋"/>
          <w:color w:val="000000" w:themeColor="text1"/>
          <w:sz w:val="28"/>
          <w:szCs w:val="28"/>
          <w:highlight w:val="none"/>
          <w14:textFill>
            <w14:solidFill>
              <w14:schemeClr w14:val="tx1"/>
            </w14:solidFill>
          </w14:textFill>
        </w:rPr>
        <w:t xml:space="preserve">前，南通市教育技术中心可以对招标文件进行修改。</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南通市教育技术中心有权按照法定的要求推迟投标截止日期和开标日期。</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 xml:space="preserve">招标文件的修改将在江苏政府采购网公布，补充文件将作为招标文件的组成部分，并对投标人具有约束力。</w:t>
      </w:r>
      <w:r>
        <w:rPr>
          <w:highlight w:val="none"/>
        </w:rPr>
      </w: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92" w:name="_Toc16938529"/>
      <w:r>
        <w:rPr>
          <w:highlight w:val="none"/>
        </w:rPr>
      </w:r>
      <w:bookmarkStart w:id="93" w:name="_Toc20823285"/>
      <w:r>
        <w:rPr>
          <w:highlight w:val="none"/>
        </w:rPr>
      </w:r>
      <w:bookmarkStart w:id="94" w:name="_Toc120614216"/>
      <w:r>
        <w:rPr>
          <w:highlight w:val="none"/>
        </w:rPr>
      </w:r>
      <w:bookmarkStart w:id="95" w:name="_Toc513029213"/>
      <w:r>
        <w:rPr>
          <w:highlight w:val="none"/>
        </w:rPr>
      </w:r>
      <w:bookmarkStart w:id="96" w:name="_Toc462564072"/>
      <w:r>
        <w:rPr>
          <w:rFonts w:hint="eastAsia" w:ascii="仿宋" w:hAnsi="仿宋" w:eastAsia="仿宋"/>
          <w:b/>
          <w:bCs/>
          <w:color w:val="000000" w:themeColor="text1"/>
          <w:sz w:val="28"/>
          <w:szCs w:val="28"/>
          <w:highlight w:val="none"/>
          <w14:textFill>
            <w14:solidFill>
              <w14:schemeClr w14:val="tx1"/>
            </w14:solidFill>
          </w14:textFill>
        </w:rPr>
        <w:t xml:space="preserve">三、投标文件的编制</w:t>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r/>
    </w:p>
    <w:p>
      <w:pPr>
        <w:keepLines/>
        <w:keepNext/>
        <w:spacing w:line="480" w:lineRule="exact"/>
        <w:rPr>
          <w:rFonts w:hint="eastAsia" w:ascii="仿宋" w:hAnsi="仿宋" w:eastAsia="仿宋" w:cs="Arial"/>
          <w:b/>
          <w:color w:val="000000" w:themeColor="text1"/>
          <w:sz w:val="28"/>
          <w:szCs w:val="28"/>
          <w:highlight w:val="none"/>
          <w14:textFill>
            <w14:solidFill>
              <w14:schemeClr w14:val="tx1"/>
            </w14:solidFill>
          </w14:textFill>
        </w:rPr>
        <w:outlineLvl w:val="3"/>
      </w:pPr>
      <w:r>
        <w:rPr>
          <w:highlight w:val="none"/>
        </w:rPr>
      </w:r>
      <w:bookmarkStart w:id="97" w:name="_Toc20823286"/>
      <w:r>
        <w:rPr>
          <w:highlight w:val="none"/>
        </w:rPr>
      </w:r>
      <w:bookmarkStart w:id="98" w:name="_Toc462564073"/>
      <w:r>
        <w:rPr>
          <w:highlight w:val="none"/>
        </w:rPr>
      </w:r>
      <w:bookmarkStart w:id="99" w:name="_Toc513029214"/>
      <w:r>
        <w:rPr>
          <w:highlight w:val="none"/>
        </w:rPr>
      </w:r>
      <w:bookmarkStart w:id="100" w:name="_Toc16938530"/>
      <w:r>
        <w:rPr>
          <w:rFonts w:hint="eastAsia" w:ascii="仿宋" w:hAnsi="仿宋" w:eastAsia="仿宋" w:cs="Arial"/>
          <w:color w:val="000000" w:themeColor="text1"/>
          <w:sz w:val="28"/>
          <w:szCs w:val="28"/>
          <w:highlight w:val="none"/>
          <w:lang w:eastAsia="zh-CN"/>
          <w14:textFill>
            <w14:solidFill>
              <w14:schemeClr w14:val="tx1"/>
            </w14:solidFill>
          </w14:textFill>
        </w:rPr>
        <w:t xml:space="preserve">9.</w:t>
      </w:r>
      <w:r>
        <w:rPr>
          <w:rFonts w:hint="eastAsia" w:ascii="仿宋" w:hAnsi="仿宋" w:eastAsia="仿宋" w:cs="Arial"/>
          <w:color w:val="000000" w:themeColor="text1"/>
          <w:sz w:val="28"/>
          <w:szCs w:val="28"/>
          <w:highlight w:val="none"/>
          <w14:textFill>
            <w14:solidFill>
              <w14:schemeClr w14:val="tx1"/>
            </w14:solidFill>
          </w14:textFill>
        </w:rPr>
        <w:t xml:space="preserve">投标文件的语言及度量衡单位</w:t>
      </w:r>
      <w:bookmarkEnd w:id="97"/>
      <w:r>
        <w:rPr>
          <w:highlight w:val="none"/>
        </w:rPr>
      </w:r>
      <w:bookmarkEnd w:id="98"/>
      <w:r>
        <w:rPr>
          <w:highlight w:val="none"/>
        </w:rPr>
      </w:r>
      <w:bookmarkEnd w:id="99"/>
      <w:r>
        <w:rPr>
          <w:highlight w:val="none"/>
        </w:rPr>
      </w:r>
      <w:bookmarkEnd w:id="100"/>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01" w:name="_Toc16938531"/>
      <w:r>
        <w:rPr>
          <w:highlight w:val="none"/>
        </w:rPr>
      </w:r>
      <w:bookmarkStart w:id="102" w:name="_Toc462564074"/>
      <w:r>
        <w:rPr>
          <w:highlight w:val="none"/>
        </w:rPr>
      </w:r>
      <w:bookmarkStart w:id="103" w:name="_Toc513029215"/>
      <w:r>
        <w:rPr>
          <w:highlight w:val="none"/>
        </w:rPr>
      </w:r>
      <w:bookmarkStart w:id="104" w:name="_Toc20823287"/>
      <w:r>
        <w:rPr>
          <w:rFonts w:hint="eastAsia" w:ascii="仿宋" w:hAnsi="仿宋" w:eastAsia="仿宋" w:cs="Arial"/>
          <w:color w:val="000000" w:themeColor="text1"/>
          <w:sz w:val="28"/>
          <w:szCs w:val="28"/>
          <w:highlight w:val="none"/>
          <w:lang w:eastAsia="zh-CN"/>
          <w14:textFill>
            <w14:solidFill>
              <w14:schemeClr w14:val="tx1"/>
            </w14:solidFill>
          </w14:textFill>
        </w:rPr>
        <w:t xml:space="preserve">10.</w:t>
      </w:r>
      <w:r>
        <w:rPr>
          <w:rFonts w:hint="eastAsia" w:ascii="仿宋" w:hAnsi="仿宋" w:eastAsia="仿宋" w:cs="Arial"/>
          <w:color w:val="000000" w:themeColor="text1"/>
          <w:sz w:val="28"/>
          <w:szCs w:val="28"/>
          <w:highlight w:val="none"/>
          <w14:textFill>
            <w14:solidFill>
              <w14:schemeClr w14:val="tx1"/>
            </w14:solidFill>
          </w14:textFill>
        </w:rPr>
        <w:t xml:space="preserve">投标文件构成</w:t>
      </w:r>
      <w:bookmarkEnd w:id="101"/>
      <w:r>
        <w:rPr>
          <w:highlight w:val="none"/>
        </w:rPr>
      </w:r>
      <w:bookmarkEnd w:id="102"/>
      <w:r>
        <w:rPr>
          <w:highlight w:val="none"/>
        </w:rPr>
      </w:r>
      <w:bookmarkEnd w:id="103"/>
      <w:r>
        <w:rPr>
          <w:highlight w:val="none"/>
        </w:rPr>
      </w:r>
      <w:bookmarkEnd w:id="104"/>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 如标书制作工具中格式和内容与“江苏政府采购网”发布的招标文件不一致，请以“江苏政府采购网”发布的招标文件为准。</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05" w:name="_Hlt26668975"/>
      <w:r>
        <w:rPr>
          <w:highlight w:val="none"/>
        </w:rPr>
      </w:r>
      <w:bookmarkEnd w:id="105"/>
      <w:r>
        <w:rPr>
          <w:highlight w:val="none"/>
        </w:rPr>
      </w:r>
      <w:bookmarkStart w:id="106" w:name="_Hlt26670360"/>
      <w:r>
        <w:rPr>
          <w:highlight w:val="none"/>
        </w:rPr>
      </w:r>
      <w:bookmarkEnd w:id="106"/>
      <w:r>
        <w:rPr>
          <w:highlight w:val="none"/>
        </w:rPr>
      </w:r>
      <w:bookmarkStart w:id="107" w:name="_Hlt26954838"/>
      <w:r>
        <w:rPr>
          <w:highlight w:val="none"/>
        </w:rPr>
      </w:r>
      <w:bookmarkEnd w:id="107"/>
      <w:r>
        <w:rPr>
          <w:highlight w:val="none"/>
        </w:rPr>
      </w:r>
      <w:bookmarkStart w:id="108" w:name="_Toc513029216"/>
      <w:r>
        <w:rPr>
          <w:highlight w:val="none"/>
        </w:rPr>
      </w:r>
      <w:bookmarkStart w:id="109" w:name="_Toc49090507"/>
      <w:r>
        <w:rPr>
          <w:highlight w:val="none"/>
        </w:rPr>
      </w:r>
      <w:bookmarkStart w:id="110" w:name="_Toc513029219"/>
      <w:r>
        <w:rPr>
          <w:highlight w:val="none"/>
        </w:rPr>
      </w:r>
      <w:bookmarkStart w:id="111" w:name="_Toc14577354"/>
      <w:r>
        <w:rPr>
          <w:highlight w:val="none"/>
        </w:rPr>
      </w:r>
      <w:bookmarkStart w:id="112" w:name="_Toc14577357"/>
      <w:r>
        <w:rPr>
          <w:highlight w:val="none"/>
        </w:rPr>
      </w:r>
      <w:bookmarkStart w:id="113" w:name="_Toc49090509"/>
      <w:r>
        <w:rPr>
          <w:highlight w:val="none"/>
        </w:rPr>
      </w:r>
      <w:bookmarkStart w:id="114" w:name="_Toc49090508"/>
      <w:r>
        <w:rPr>
          <w:highlight w:val="none"/>
        </w:rPr>
      </w:r>
      <w:bookmarkStart w:id="115" w:name="_Toc14577355"/>
      <w:r>
        <w:rPr>
          <w:rFonts w:hint="eastAsia" w:ascii="仿宋" w:hAnsi="仿宋" w:eastAsia="仿宋" w:cs="Arial"/>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Arial"/>
          <w:color w:val="000000" w:themeColor="text1"/>
          <w:sz w:val="28"/>
          <w:szCs w:val="28"/>
          <w:highlight w:val="none"/>
          <w14:textFill>
            <w14:solidFill>
              <w14:schemeClr w14:val="tx1"/>
            </w14:solidFill>
          </w14:textFill>
        </w:rPr>
        <w:t xml:space="preserve">证明投标人及投标标的符合招标文件规定的文件</w:t>
      </w:r>
      <w:bookmarkEnd w:id="108"/>
      <w:r>
        <w:rPr>
          <w:highlight w:val="none"/>
        </w:rPr>
      </w:r>
      <w:bookmarkEnd w:id="109"/>
      <w:r>
        <w:rPr>
          <w:highlight w:val="none"/>
        </w:rPr>
      </w:r>
      <w:bookmarkEnd w:id="110"/>
      <w:r>
        <w:rPr>
          <w:highlight w:val="none"/>
        </w:rPr>
      </w:r>
      <w:bookmarkEnd w:id="111"/>
      <w:r>
        <w:rPr>
          <w:highlight w:val="none"/>
        </w:rPr>
      </w:r>
      <w:bookmarkEnd w:id="112"/>
      <w:r>
        <w:rPr>
          <w:highlight w:val="none"/>
        </w:rPr>
      </w:r>
      <w:bookmarkEnd w:id="113"/>
      <w:r>
        <w:rPr>
          <w:highlight w:val="none"/>
        </w:rPr>
      </w:r>
      <w:r/>
    </w:p>
    <w:p>
      <w:pPr>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11.2招标文件对证明文件无明确形式要求的，证明文件可以以文字资料、图纸和数据等形式提交。</w:t>
      </w:r>
      <w:bookmarkEnd w:id="114"/>
      <w:r>
        <w:rPr>
          <w:highlight w:val="none"/>
        </w:rPr>
      </w:r>
      <w:bookmarkEnd w:id="115"/>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12.</w:t>
      </w:r>
      <w:r>
        <w:rPr>
          <w:rFonts w:hint="eastAsia" w:ascii="仿宋" w:hAnsi="仿宋" w:eastAsia="仿宋" w:cs="Arial"/>
          <w:color w:val="000000" w:themeColor="text1"/>
          <w:sz w:val="28"/>
          <w:szCs w:val="28"/>
          <w:highlight w:val="none"/>
          <w14:textFill>
            <w14:solidFill>
              <w14:schemeClr w14:val="tx1"/>
            </w14:solidFill>
          </w14:textFill>
        </w:rPr>
        <w:t xml:space="preserve">投标分项报价表</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w:t>
      </w:r>
      <w:r>
        <w:rPr>
          <w:rFonts w:hint="eastAsia" w:ascii="仿宋" w:hAnsi="仿宋" w:eastAsia="仿宋"/>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 xml:space="preserve">招标文件中另有规定的按规定执行。</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16" w:name="_Hlt26954731"/>
      <w:r>
        <w:rPr>
          <w:highlight w:val="none"/>
        </w:rPr>
      </w:r>
      <w:bookmarkEnd w:id="116"/>
      <w:r>
        <w:rPr>
          <w:highlight w:val="none"/>
        </w:rPr>
      </w:r>
      <w:bookmarkStart w:id="117" w:name="_Hlt26954848"/>
      <w:r>
        <w:rPr>
          <w:highlight w:val="none"/>
        </w:rPr>
      </w:r>
      <w:bookmarkEnd w:id="117"/>
      <w:r>
        <w:rPr>
          <w:highlight w:val="none"/>
        </w:rPr>
      </w:r>
      <w:bookmarkStart w:id="118" w:name="_Hlt26954846"/>
      <w:r>
        <w:rPr>
          <w:highlight w:val="none"/>
        </w:rPr>
      </w:r>
      <w:bookmarkEnd w:id="118"/>
      <w:r>
        <w:rPr>
          <w:highlight w:val="none"/>
        </w:rPr>
      </w:r>
      <w:bookmarkStart w:id="119" w:name="_Hlt26670482"/>
      <w:r>
        <w:rPr>
          <w:highlight w:val="none"/>
        </w:rPr>
      </w:r>
      <w:bookmarkEnd w:id="119"/>
      <w:r>
        <w:rPr>
          <w:highlight w:val="none"/>
        </w:rPr>
      </w:r>
      <w:bookmarkStart w:id="120" w:name="_Hlt26670486"/>
      <w:r>
        <w:rPr>
          <w:highlight w:val="none"/>
        </w:rPr>
      </w:r>
      <w:bookmarkEnd w:id="12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13.</w:t>
      </w:r>
      <w:r>
        <w:rPr>
          <w:rFonts w:hint="eastAsia" w:ascii="仿宋" w:hAnsi="仿宋" w:eastAsia="仿宋" w:cs="Arial"/>
          <w:color w:val="000000" w:themeColor="text1"/>
          <w:sz w:val="28"/>
          <w:szCs w:val="28"/>
          <w:highlight w:val="none"/>
          <w14:textFill>
            <w14:solidFill>
              <w14:schemeClr w14:val="tx1"/>
            </w14:solidFill>
          </w14:textFill>
        </w:rPr>
        <w:t xml:space="preserve">技术要求响应及偏离表、商务要求响应及偏离表</w:t>
      </w:r>
      <w:r>
        <w:rPr>
          <w:highlight w:val="none"/>
        </w:rPr>
      </w:r>
      <w:r/>
    </w:p>
    <w:p>
      <w:pPr>
        <w:ind w:firstLine="48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3</w:t>
      </w: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投标人需对招标文件中的技术要求与商务要求逐项作出响应或偏离，并说明原因。</w:t>
      </w:r>
      <w:r>
        <w:rPr>
          <w:highlight w:val="none"/>
        </w:rPr>
      </w:r>
      <w:r/>
    </w:p>
    <w:p>
      <w:pPr>
        <w:ind w:firstLine="48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 xml:space="preserve">13.2投标人需按照招标文件要求，在投标文件中提供与技术要求和商务要求相关的证明材料。</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14.</w:t>
      </w:r>
      <w:r>
        <w:rPr>
          <w:rFonts w:hint="eastAsia" w:ascii="仿宋" w:hAnsi="仿宋" w:eastAsia="仿宋" w:cs="Arial"/>
          <w:color w:val="000000" w:themeColor="text1"/>
          <w:sz w:val="28"/>
          <w:szCs w:val="28"/>
          <w:highlight w:val="none"/>
          <w14:textFill>
            <w14:solidFill>
              <w14:schemeClr w14:val="tx1"/>
            </w14:solidFill>
          </w14:textFill>
        </w:rPr>
        <w:t xml:space="preserve">服务承诺、培训计划、人员安排及其他</w:t>
      </w:r>
      <w:r>
        <w:rPr>
          <w:highlight w:val="none"/>
        </w:rPr>
      </w: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rPr>
          <w:highlight w:val="none"/>
        </w:rPr>
      </w: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投标人需根据招标文件要求提供培训计划。</w:t>
      </w:r>
      <w:r>
        <w:rPr>
          <w:highlight w:val="none"/>
        </w:rPr>
      </w: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所投标的的主要组成部分、功能设计、实现思路及关键技术等。</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21" w:name="_Toc14577359"/>
      <w:r>
        <w:rPr>
          <w:highlight w:val="none"/>
        </w:rPr>
      </w:r>
      <w:bookmarkStart w:id="122" w:name="_Toc490905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15.</w:t>
      </w:r>
      <w:r>
        <w:rPr>
          <w:rFonts w:hint="eastAsia" w:ascii="仿宋" w:hAnsi="仿宋" w:eastAsia="仿宋" w:cs="Arial"/>
          <w:color w:val="000000" w:themeColor="text1"/>
          <w:sz w:val="28"/>
          <w:szCs w:val="28"/>
          <w:highlight w:val="none"/>
          <w14:textFill>
            <w14:solidFill>
              <w14:schemeClr w14:val="tx1"/>
            </w14:solidFill>
          </w14:textFill>
        </w:rPr>
        <w:t xml:space="preserve">投标函和开标一览表</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15.2 对于采用货币报价的项目，开标一览表中的投标总报价应与分项报价表中的投标总报价一致，如不一致，不作为无效投标处理，但评标时按开标一览表中价格为准。</w:t>
      </w:r>
      <w:bookmarkEnd w:id="121"/>
      <w:r>
        <w:rPr>
          <w:highlight w:val="none"/>
        </w:rPr>
      </w:r>
      <w:bookmarkEnd w:id="122"/>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23" w:name="_Toc14577360"/>
      <w:r>
        <w:rPr>
          <w:highlight w:val="none"/>
        </w:rPr>
      </w:r>
      <w:bookmarkStart w:id="124" w:name="_Toc490905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16.</w:t>
      </w:r>
      <w:r>
        <w:rPr>
          <w:rFonts w:hint="eastAsia" w:ascii="仿宋" w:hAnsi="仿宋" w:eastAsia="仿宋" w:cs="Arial"/>
          <w:color w:val="000000" w:themeColor="text1"/>
          <w:sz w:val="28"/>
          <w:szCs w:val="28"/>
          <w:highlight w:val="none"/>
          <w14:textFill>
            <w14:solidFill>
              <w14:schemeClr w14:val="tx1"/>
            </w14:solidFill>
          </w14:textFill>
        </w:rPr>
        <w:t xml:space="preserve">投标有效期</w:t>
      </w:r>
      <w:bookmarkEnd w:id="123"/>
      <w:r>
        <w:rPr>
          <w:highlight w:val="none"/>
        </w:rPr>
      </w:r>
      <w:bookmarkEnd w:id="124"/>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16.1投标有效期为</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规定的开标之日后</w:t>
      </w:r>
      <w:r>
        <w:rPr>
          <w:rFonts w:hint="eastAsia" w:ascii="仿宋" w:hAnsi="仿宋" w:eastAsia="仿宋"/>
          <w:color w:val="000000" w:themeColor="text1"/>
          <w:sz w:val="28"/>
          <w:szCs w:val="28"/>
          <w:highlight w:val="none"/>
          <w:u w:val="single"/>
          <w14:textFill>
            <w14:solidFill>
              <w14:schemeClr w14:val="tx1"/>
            </w14:solidFill>
          </w14:textFill>
        </w:rPr>
        <w:t xml:space="preserve">九十（90）天</w:t>
      </w:r>
      <w:r>
        <w:rPr>
          <w:rFonts w:hint="eastAsia" w:ascii="仿宋" w:hAnsi="仿宋" w:eastAsia="仿宋"/>
          <w:bCs/>
          <w:color w:val="000000" w:themeColor="text1"/>
          <w:sz w:val="28"/>
          <w:szCs w:val="28"/>
          <w:highlight w:val="none"/>
          <w14:textFill>
            <w14:solidFill>
              <w14:schemeClr w14:val="tx1"/>
            </w14:solidFill>
          </w14:textFill>
        </w:rPr>
        <w:t xml:space="preserve">。投标有效期比规定短的将被视为未实质性响应招标文件而予以拒绝。</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17.</w:t>
      </w:r>
      <w:r>
        <w:rPr>
          <w:rFonts w:hint="eastAsia" w:ascii="仿宋" w:hAnsi="仿宋" w:eastAsia="仿宋" w:cs="Arial"/>
          <w:color w:val="000000" w:themeColor="text1"/>
          <w:sz w:val="28"/>
          <w:szCs w:val="28"/>
          <w:highlight w:val="none"/>
          <w14:textFill>
            <w14:solidFill>
              <w14:schemeClr w14:val="tx1"/>
            </w14:solidFill>
          </w14:textFill>
        </w:rPr>
        <w:t xml:space="preserve">投标有效期的延长</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17.1在特殊情况下，</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 xml:space="preserve">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 xml:space="preserve">。</w:t>
      </w:r>
      <w:r>
        <w:rPr>
          <w:highlight w:val="none"/>
        </w:rPr>
      </w: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25" w:name="_Hlt26954739"/>
      <w:r>
        <w:rPr>
          <w:highlight w:val="none"/>
        </w:rPr>
      </w:r>
      <w:bookmarkEnd w:id="125"/>
      <w:r>
        <w:rPr>
          <w:highlight w:val="none"/>
        </w:rPr>
      </w:r>
      <w:bookmarkStart w:id="126" w:name="_Hlt26954852"/>
      <w:r>
        <w:rPr>
          <w:highlight w:val="none"/>
        </w:rPr>
      </w:r>
      <w:bookmarkEnd w:id="126"/>
      <w:r>
        <w:rPr>
          <w:highlight w:val="none"/>
        </w:rPr>
      </w:r>
      <w:bookmarkStart w:id="127" w:name="_Toc16938540"/>
      <w:r>
        <w:rPr>
          <w:highlight w:val="none"/>
        </w:rPr>
      </w:r>
      <w:bookmarkStart w:id="128" w:name="_Toc120614217"/>
      <w:r>
        <w:rPr>
          <w:highlight w:val="none"/>
        </w:rPr>
      </w:r>
      <w:bookmarkStart w:id="129" w:name="_Toc20823296"/>
      <w:r>
        <w:rPr>
          <w:highlight w:val="none"/>
        </w:rPr>
      </w:r>
      <w:bookmarkStart w:id="130" w:name="_Toc513029224"/>
      <w:r>
        <w:rPr>
          <w:rFonts w:hint="eastAsia" w:ascii="仿宋" w:hAnsi="仿宋" w:eastAsia="仿宋"/>
          <w:b/>
          <w:bCs/>
          <w:color w:val="000000" w:themeColor="text1"/>
          <w:sz w:val="28"/>
          <w:szCs w:val="28"/>
          <w:highlight w:val="none"/>
          <w14:textFill>
            <w14:solidFill>
              <w14:schemeClr w14:val="tx1"/>
            </w14:solidFill>
          </w14:textFill>
        </w:rPr>
        <w:t xml:space="preserve">四、投标文件的递交</w:t>
      </w:r>
      <w:bookmarkEnd w:id="127"/>
      <w:r>
        <w:rPr>
          <w:highlight w:val="none"/>
        </w:rPr>
      </w:r>
      <w:bookmarkEnd w:id="128"/>
      <w:r>
        <w:rPr>
          <w:highlight w:val="none"/>
        </w:rPr>
      </w:r>
      <w:bookmarkEnd w:id="129"/>
      <w:r>
        <w:rPr>
          <w:highlight w:val="none"/>
        </w:rPr>
      </w:r>
      <w:bookmarkEnd w:id="130"/>
      <w:r>
        <w:rPr>
          <w:highlight w:val="none"/>
        </w:rPr>
      </w: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31" w:name="_Toc16938541"/>
      <w:r>
        <w:rPr>
          <w:highlight w:val="none"/>
        </w:rPr>
      </w:r>
      <w:bookmarkStart w:id="132" w:name="_Toc20823297"/>
      <w:r>
        <w:rPr>
          <w:highlight w:val="none"/>
        </w:rPr>
      </w:r>
      <w:bookmarkStart w:id="133" w:name="_Toc462564084"/>
      <w:r>
        <w:rPr>
          <w:highlight w:val="none"/>
        </w:rPr>
      </w:r>
      <w:bookmarkStart w:id="134" w:name="_Toc513029225"/>
      <w:r>
        <w:rPr>
          <w:rFonts w:hint="eastAsia" w:ascii="仿宋" w:hAnsi="仿宋" w:eastAsia="仿宋"/>
          <w:bCs/>
          <w:color w:val="000000" w:themeColor="text1"/>
          <w:sz w:val="28"/>
          <w:szCs w:val="28"/>
          <w:highlight w:val="none"/>
          <w:lang w:eastAsia="zh-CN"/>
          <w14:textFill>
            <w14:solidFill>
              <w14:schemeClr w14:val="tx1"/>
            </w14:solidFill>
          </w14:textFill>
        </w:rPr>
        <w:t xml:space="preserve">18.</w:t>
      </w:r>
      <w:r>
        <w:rPr>
          <w:rFonts w:hint="eastAsia" w:ascii="仿宋" w:hAnsi="仿宋" w:eastAsia="仿宋"/>
          <w:bCs/>
          <w:color w:val="000000" w:themeColor="text1"/>
          <w:sz w:val="28"/>
          <w:szCs w:val="28"/>
          <w:highlight w:val="none"/>
          <w14:textFill>
            <w14:solidFill>
              <w14:schemeClr w14:val="tx1"/>
            </w14:solidFill>
          </w14:textFill>
        </w:rPr>
        <w:t xml:space="preserve">电子投标文件</w:t>
      </w:r>
      <w:bookmarkEnd w:id="131"/>
      <w:r>
        <w:rPr>
          <w:highlight w:val="none"/>
        </w:rPr>
      </w:r>
      <w:bookmarkEnd w:id="132"/>
      <w:r>
        <w:rPr>
          <w:highlight w:val="none"/>
        </w:rPr>
      </w:r>
      <w:bookmarkEnd w:id="133"/>
      <w:r>
        <w:rPr>
          <w:highlight w:val="none"/>
        </w:rPr>
      </w:r>
      <w:bookmarkEnd w:id="134"/>
      <w:r>
        <w:rPr>
          <w:rFonts w:hint="eastAsia" w:ascii="仿宋" w:hAnsi="仿宋" w:eastAsia="仿宋"/>
          <w:bCs/>
          <w:color w:val="000000" w:themeColor="text1"/>
          <w:sz w:val="28"/>
          <w:szCs w:val="28"/>
          <w:highlight w:val="none"/>
          <w14:textFill>
            <w14:solidFill>
              <w14:schemeClr w14:val="tx1"/>
            </w14:solidFill>
          </w14:textFill>
        </w:rPr>
        <w:t xml:space="preserve">的递交</w:t>
      </w:r>
      <w:r>
        <w:rPr>
          <w:highlight w:val="none"/>
        </w:rPr>
      </w: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 xml:space="preserve">制作</w:t>
      </w:r>
      <w:r>
        <w:rPr>
          <w:rFonts w:hint="eastAsia" w:ascii="仿宋" w:hAnsi="仿宋" w:eastAsia="仿宋"/>
          <w:bCs/>
          <w:color w:val="000000" w:themeColor="text1"/>
          <w:sz w:val="28"/>
          <w:szCs w:val="28"/>
          <w:highlight w:val="none"/>
          <w14:textFill>
            <w14:solidFill>
              <w14:schemeClr w14:val="tx1"/>
            </w14:solidFill>
          </w14:textFill>
        </w:rPr>
        <w:t xml:space="preserve">并上传电子投标文件。</w:t>
      </w:r>
      <w:bookmarkStart w:id="135" w:name="_Toc20823298"/>
      <w:r>
        <w:rPr>
          <w:highlight w:val="none"/>
        </w:rPr>
      </w:r>
      <w:bookmarkStart w:id="136" w:name="_Toc16938542"/>
      <w:r>
        <w:rPr>
          <w:highlight w:val="none"/>
        </w:rPr>
      </w:r>
      <w:bookmarkStart w:id="137" w:name="_Toc513029226"/>
      <w:r>
        <w:rPr>
          <w:highlight w:val="none"/>
        </w:rPr>
      </w: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19.</w:t>
      </w:r>
      <w:r>
        <w:rPr>
          <w:rFonts w:hint="eastAsia" w:ascii="仿宋" w:hAnsi="仿宋" w:eastAsia="仿宋"/>
          <w:bCs/>
          <w:color w:val="000000" w:themeColor="text1"/>
          <w:sz w:val="28"/>
          <w:szCs w:val="28"/>
          <w:highlight w:val="none"/>
          <w14:textFill>
            <w14:solidFill>
              <w14:schemeClr w14:val="tx1"/>
            </w14:solidFill>
          </w14:textFill>
        </w:rPr>
        <w:t xml:space="preserve">投标截止日期</w:t>
      </w:r>
      <w:bookmarkEnd w:id="135"/>
      <w:r>
        <w:rPr>
          <w:highlight w:val="none"/>
        </w:rPr>
      </w:r>
      <w:bookmarkEnd w:id="136"/>
      <w:r>
        <w:rPr>
          <w:highlight w:val="none"/>
        </w:rPr>
      </w:r>
      <w:bookmarkEnd w:id="137"/>
      <w:r>
        <w:rPr>
          <w:highlight w:val="none"/>
        </w:rPr>
      </w:r>
      <w:r/>
    </w:p>
    <w:p>
      <w:pPr>
        <w:ind w:firstLine="562"/>
        <w:spacing w:line="480" w:lineRule="exact"/>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 xml:space="preserve">19</w:t>
      </w:r>
      <w:r>
        <w:rPr>
          <w:rFonts w:hint="eastAsia" w:ascii="仿宋" w:hAnsi="仿宋" w:eastAsia="仿宋"/>
          <w:b/>
          <w:color w:val="000000" w:themeColor="text1"/>
          <w:sz w:val="28"/>
          <w:szCs w:val="28"/>
          <w:highlight w:val="none"/>
          <w:u w:val="singl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投标人应</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none"/>
          <w14:textFill>
            <w14:solidFill>
              <w14:schemeClr w14:val="tx1"/>
            </w14:solidFill>
          </w14:textFill>
        </w:rPr>
        <w:t xml:space="preserve">网络环境、网络带宽等风险因素，如因投标人自身原因造成电子投标文件上传不成功的，按照本招标文件第二章第27.1.2条规定做无效投标处理。</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19</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38" w:name="_Toc513029227"/>
      <w:r>
        <w:rPr>
          <w:highlight w:val="none"/>
        </w:rPr>
      </w:r>
      <w:bookmarkStart w:id="139" w:name="_Toc16938543"/>
      <w:r>
        <w:rPr>
          <w:highlight w:val="none"/>
        </w:rPr>
      </w:r>
      <w:bookmarkStart w:id="140" w:name="_Toc20823299"/>
      <w:r>
        <w:rPr>
          <w:rFonts w:hint="eastAsia" w:ascii="仿宋" w:hAnsi="仿宋" w:eastAsia="仿宋" w:cs="Arial"/>
          <w:color w:val="000000" w:themeColor="text1"/>
          <w:sz w:val="28"/>
          <w:szCs w:val="28"/>
          <w:highlight w:val="none"/>
          <w:lang w:eastAsia="zh-CN"/>
          <w14:textFill>
            <w14:solidFill>
              <w14:schemeClr w14:val="tx1"/>
            </w14:solidFill>
          </w14:textFill>
        </w:rPr>
        <w:t xml:space="preserve">20.</w:t>
      </w:r>
      <w:r>
        <w:rPr>
          <w:rFonts w:hint="eastAsia" w:ascii="仿宋" w:hAnsi="仿宋" w:eastAsia="仿宋" w:cs="Arial"/>
          <w:color w:val="000000" w:themeColor="text1"/>
          <w:sz w:val="28"/>
          <w:szCs w:val="28"/>
          <w:highlight w:val="none"/>
          <w14:textFill>
            <w14:solidFill>
              <w14:schemeClr w14:val="tx1"/>
            </w14:solidFill>
          </w14:textFill>
        </w:rPr>
        <w:t xml:space="preserve">投标文件</w:t>
      </w:r>
      <w:bookmarkEnd w:id="138"/>
      <w:r>
        <w:rPr>
          <w:highlight w:val="none"/>
        </w:rPr>
      </w:r>
      <w:bookmarkEnd w:id="139"/>
      <w:r>
        <w:rPr>
          <w:highlight w:val="none"/>
        </w:rPr>
      </w:r>
      <w:bookmarkEnd w:id="140"/>
      <w:r>
        <w:rPr>
          <w:rFonts w:hint="eastAsia" w:ascii="仿宋" w:hAnsi="仿宋" w:eastAsia="仿宋" w:cs="Arial"/>
          <w:color w:val="000000" w:themeColor="text1"/>
          <w:sz w:val="28"/>
          <w:szCs w:val="28"/>
          <w:highlight w:val="none"/>
          <w14:textFill>
            <w14:solidFill>
              <w14:schemeClr w14:val="tx1"/>
            </w14:solidFill>
          </w14:textFill>
        </w:rPr>
        <w:t xml:space="preserve">的拒收</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20.1 南通市教育技术中心拒绝接收在其规定的投标截止时间后上传的任何投标文件。</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1" w:name="_Toc20823300"/>
      <w:r>
        <w:rPr>
          <w:highlight w:val="none"/>
        </w:rPr>
      </w:r>
      <w:bookmarkStart w:id="142" w:name="_Toc513029228"/>
      <w:r>
        <w:rPr>
          <w:highlight w:val="none"/>
        </w:rPr>
      </w:r>
      <w:bookmarkStart w:id="143" w:name="_Toc16938544"/>
      <w:r>
        <w:rPr>
          <w:rFonts w:hint="eastAsia" w:ascii="仿宋" w:hAnsi="仿宋" w:eastAsia="仿宋" w:cs="Arial"/>
          <w:color w:val="000000" w:themeColor="text1"/>
          <w:sz w:val="28"/>
          <w:szCs w:val="28"/>
          <w:highlight w:val="none"/>
          <w:lang w:eastAsia="zh-CN"/>
          <w14:textFill>
            <w14:solidFill>
              <w14:schemeClr w14:val="tx1"/>
            </w14:solidFill>
          </w14:textFill>
        </w:rPr>
        <w:t xml:space="preserve">21.</w:t>
      </w:r>
      <w:r>
        <w:rPr>
          <w:rFonts w:hint="eastAsia" w:ascii="仿宋" w:hAnsi="仿宋" w:eastAsia="仿宋" w:cs="Arial"/>
          <w:color w:val="000000" w:themeColor="text1"/>
          <w:sz w:val="28"/>
          <w:szCs w:val="28"/>
          <w:highlight w:val="none"/>
          <w14:textFill>
            <w14:solidFill>
              <w14:schemeClr w14:val="tx1"/>
            </w14:solidFill>
          </w14:textFill>
        </w:rPr>
        <w:t xml:space="preserve">投标文件的撤回和修改</w:t>
      </w:r>
      <w:bookmarkEnd w:id="141"/>
      <w:r>
        <w:rPr>
          <w:highlight w:val="none"/>
        </w:rPr>
      </w:r>
      <w:bookmarkEnd w:id="142"/>
      <w:r>
        <w:rPr>
          <w:highlight w:val="none"/>
        </w:rPr>
      </w:r>
      <w:bookmarkEnd w:id="143"/>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 投标文件的撤回</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.1.1 电子投标文件的撤回</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 投标文件的修改</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21.2.1投标人可在投标截止时间前，对其电子投标文件进行修改，具体操作方法见《操作手册》。</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rPr>
          <w:highlight w:val="none"/>
        </w:rPr>
      </w: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44" w:name="_Toc120614218"/>
      <w:r>
        <w:rPr>
          <w:highlight w:val="none"/>
        </w:rPr>
      </w:r>
      <w:bookmarkStart w:id="145" w:name="_Toc513029229"/>
      <w:r>
        <w:rPr>
          <w:highlight w:val="none"/>
        </w:rPr>
      </w:r>
      <w:bookmarkStart w:id="146" w:name="_Toc20823301"/>
      <w:r>
        <w:rPr>
          <w:highlight w:val="none"/>
        </w:rPr>
      </w:r>
      <w:bookmarkStart w:id="147" w:name="_Toc16938545"/>
      <w:r>
        <w:rPr>
          <w:rFonts w:hint="eastAsia" w:ascii="仿宋" w:hAnsi="仿宋" w:eastAsia="仿宋"/>
          <w:b/>
          <w:bCs/>
          <w:color w:val="000000" w:themeColor="text1"/>
          <w:sz w:val="28"/>
          <w:szCs w:val="28"/>
          <w:highlight w:val="none"/>
          <w14:textFill>
            <w14:solidFill>
              <w14:schemeClr w14:val="tx1"/>
            </w14:solidFill>
          </w14:textFill>
        </w:rPr>
        <w:t xml:space="preserve">五、开标与评标</w:t>
      </w:r>
      <w:bookmarkEnd w:id="144"/>
      <w:r>
        <w:rPr>
          <w:highlight w:val="none"/>
        </w:rPr>
      </w:r>
      <w:bookmarkEnd w:id="145"/>
      <w:r>
        <w:rPr>
          <w:highlight w:val="none"/>
        </w:rPr>
      </w:r>
      <w:bookmarkEnd w:id="146"/>
      <w:r>
        <w:rPr>
          <w:highlight w:val="none"/>
        </w:rPr>
      </w:r>
      <w:bookmarkEnd w:id="147"/>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8" w:name="_Toc20823302"/>
      <w:r>
        <w:rPr>
          <w:highlight w:val="none"/>
        </w:rPr>
      </w:r>
      <w:bookmarkStart w:id="149" w:name="_Toc513029230"/>
      <w:r>
        <w:rPr>
          <w:highlight w:val="none"/>
        </w:rPr>
      </w:r>
      <w:bookmarkStart w:id="150" w:name="_Toc16938546"/>
      <w:r>
        <w:rPr>
          <w:rFonts w:hint="eastAsia" w:ascii="仿宋" w:hAnsi="仿宋" w:eastAsia="仿宋" w:cs="Arial"/>
          <w:color w:val="000000" w:themeColor="text1"/>
          <w:sz w:val="28"/>
          <w:szCs w:val="28"/>
          <w:highlight w:val="none"/>
          <w:lang w:eastAsia="zh-CN"/>
          <w14:textFill>
            <w14:solidFill>
              <w14:schemeClr w14:val="tx1"/>
            </w14:solidFill>
          </w14:textFill>
        </w:rPr>
        <w:t xml:space="preserve">22.</w:t>
      </w:r>
      <w:r>
        <w:rPr>
          <w:rFonts w:hint="eastAsia" w:ascii="仿宋" w:hAnsi="仿宋" w:eastAsia="仿宋" w:cs="Arial"/>
          <w:color w:val="000000" w:themeColor="text1"/>
          <w:sz w:val="28"/>
          <w:szCs w:val="28"/>
          <w:highlight w:val="none"/>
          <w14:textFill>
            <w14:solidFill>
              <w14:schemeClr w14:val="tx1"/>
            </w14:solidFill>
          </w14:textFill>
        </w:rPr>
        <w:t xml:space="preserve">开标</w:t>
      </w:r>
      <w:bookmarkEnd w:id="148"/>
      <w:r>
        <w:rPr>
          <w:highlight w:val="none"/>
        </w:rPr>
      </w:r>
      <w:bookmarkEnd w:id="149"/>
      <w:r>
        <w:rPr>
          <w:highlight w:val="none"/>
        </w:rPr>
      </w:r>
      <w:bookmarkEnd w:id="150"/>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 xml:space="preserve">。投标人应当按照《操作手册》规定，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rPr>
          <w:highlight w:val="none"/>
        </w:rPr>
      </w: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并宣布各投标人名称和投标价格。</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涉及</w:t>
      </w:r>
      <w:r>
        <w:rPr>
          <w:rFonts w:hint="eastAsia" w:ascii="仿宋" w:hAnsi="仿宋" w:eastAsia="仿宋"/>
          <w:bCs/>
          <w:color w:val="000000" w:themeColor="text1"/>
          <w:sz w:val="28"/>
          <w:szCs w:val="28"/>
          <w:highlight w:val="none"/>
          <w14:textFill>
            <w14:solidFill>
              <w14:schemeClr w14:val="tx1"/>
            </w14:solidFill>
          </w14:textFill>
        </w:rPr>
        <w:t xml:space="preserve">的投标文件解密、开标结果确认等工作，应按照《操作手册》规定执行。</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51" w:name="_Toc20823303"/>
      <w:r>
        <w:rPr>
          <w:highlight w:val="none"/>
        </w:rPr>
      </w:r>
      <w:bookmarkStart w:id="152" w:name="_Toc513029231"/>
      <w:r>
        <w:rPr>
          <w:highlight w:val="none"/>
        </w:rPr>
      </w:r>
      <w:bookmarkStart w:id="153" w:name="_Toc16938547"/>
      <w:r>
        <w:rPr>
          <w:rFonts w:hint="eastAsia" w:ascii="仿宋" w:hAnsi="仿宋" w:eastAsia="仿宋" w:cs="Arial"/>
          <w:color w:val="000000" w:themeColor="text1"/>
          <w:sz w:val="28"/>
          <w:szCs w:val="28"/>
          <w:highlight w:val="none"/>
          <w:lang w:eastAsia="zh-CN"/>
          <w14:textFill>
            <w14:solidFill>
              <w14:schemeClr w14:val="tx1"/>
            </w14:solidFill>
          </w14:textFill>
        </w:rPr>
        <w:t xml:space="preserve">23.</w:t>
      </w:r>
      <w:r>
        <w:rPr>
          <w:rFonts w:hint="eastAsia" w:ascii="仿宋" w:hAnsi="仿宋" w:eastAsia="仿宋" w:cs="Arial"/>
          <w:color w:val="000000" w:themeColor="text1"/>
          <w:sz w:val="28"/>
          <w:szCs w:val="28"/>
          <w:highlight w:val="none"/>
          <w14:textFill>
            <w14:solidFill>
              <w14:schemeClr w14:val="tx1"/>
            </w14:solidFill>
          </w14:textFill>
        </w:rPr>
        <w:t xml:space="preserve">评标委员会</w:t>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开标后，南通市教育技术中心将立即组织评标委员会（以下简称评委会）进行评标。</w:t>
      </w:r>
      <w:r>
        <w:rPr>
          <w:highlight w:val="none"/>
        </w:rPr>
      </w:r>
      <w:r/>
    </w:p>
    <w:p>
      <w:pPr>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.2 评委会由采购人代表和有关技术、经济等方面的专家组成，且人员构成符合政府采购有关规定。</w:t>
      </w:r>
      <w:r>
        <w:rPr>
          <w:highlight w:val="none"/>
        </w:rPr>
      </w:r>
      <w:r/>
    </w:p>
    <w:p>
      <w:pPr>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24.</w:t>
      </w:r>
      <w:r>
        <w:rPr>
          <w:rFonts w:hint="eastAsia" w:ascii="仿宋" w:hAnsi="仿宋" w:eastAsia="仿宋" w:cs="Arial"/>
          <w:color w:val="000000" w:themeColor="text1"/>
          <w:sz w:val="28"/>
          <w:szCs w:val="28"/>
          <w:highlight w:val="none"/>
          <w14:textFill>
            <w14:solidFill>
              <w14:schemeClr w14:val="tx1"/>
            </w14:solidFill>
          </w14:textFill>
        </w:rPr>
        <w:t xml:space="preserve">评标过程的保密与公正</w:t>
      </w:r>
      <w:bookmarkEnd w:id="151"/>
      <w:r>
        <w:rPr>
          <w:highlight w:val="none"/>
        </w:rPr>
      </w:r>
      <w:bookmarkEnd w:id="152"/>
      <w:r>
        <w:rPr>
          <w:highlight w:val="none"/>
        </w:rPr>
      </w:r>
      <w:bookmarkEnd w:id="153"/>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凡是与审查、澄清、评价和比较投标的有关资料以及授标建议等，采购人、评委、南通市教育技术中心均不得向投标人或与评标无关的其他人员透露。</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.2在评标过程中，投标人不得以任何行为影响评标过程，否则其投标文件将被作为无效投标文件。</w:t>
      </w:r>
      <w:r>
        <w:rPr>
          <w:highlight w:val="none"/>
        </w:rPr>
      </w:r>
      <w:r/>
    </w:p>
    <w:p>
      <w:pPr>
        <w:ind w:firstLine="560"/>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r>
        <w:rPr>
          <w:highlight w:val="none"/>
        </w:rPr>
      </w:r>
      <w:r/>
    </w:p>
    <w:p>
      <w:pPr>
        <w:ind w:firstLine="560"/>
        <w:spacing w:line="480" w:lineRule="exact"/>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54" w:name="_Toc513029232"/>
      <w:r>
        <w:rPr>
          <w:highlight w:val="none"/>
        </w:rPr>
      </w:r>
      <w:bookmarkStart w:id="155" w:name="_Toc20823304"/>
      <w:r>
        <w:rPr>
          <w:highlight w:val="none"/>
        </w:rPr>
      </w:r>
      <w:bookmarkStart w:id="156" w:name="_Toc16938548"/>
      <w:r>
        <w:rPr>
          <w:rFonts w:hint="eastAsia" w:ascii="仿宋" w:hAnsi="仿宋" w:eastAsia="仿宋" w:cs="Arial"/>
          <w:color w:val="000000" w:themeColor="text1"/>
          <w:sz w:val="28"/>
          <w:szCs w:val="28"/>
          <w:highlight w:val="none"/>
          <w:lang w:eastAsia="zh-CN"/>
          <w14:textFill>
            <w14:solidFill>
              <w14:schemeClr w14:val="tx1"/>
            </w14:solidFill>
          </w14:textFill>
        </w:rPr>
        <w:t xml:space="preserve">25.</w:t>
      </w:r>
      <w:r>
        <w:rPr>
          <w:rFonts w:hint="eastAsia" w:ascii="仿宋" w:hAnsi="仿宋" w:eastAsia="仿宋" w:cs="Arial"/>
          <w:color w:val="000000" w:themeColor="text1"/>
          <w:sz w:val="28"/>
          <w:szCs w:val="28"/>
          <w:highlight w:val="none"/>
          <w14:textFill>
            <w14:solidFill>
              <w14:schemeClr w14:val="tx1"/>
            </w14:solidFill>
          </w14:textFill>
        </w:rPr>
        <w:t xml:space="preserve">投标文件的澄清</w:t>
      </w:r>
      <w:bookmarkEnd w:id="154"/>
      <w:r>
        <w:rPr>
          <w:highlight w:val="none"/>
        </w:rPr>
      </w:r>
      <w:bookmarkEnd w:id="155"/>
      <w:r>
        <w:rPr>
          <w:highlight w:val="none"/>
        </w:rPr>
      </w:r>
      <w:bookmarkEnd w:id="156"/>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157" w:name="_Toc16938549"/>
      <w:r>
        <w:rPr>
          <w:highlight w:val="none"/>
        </w:rPr>
      </w:r>
      <w:bookmarkStart w:id="158" w:name="_Toc20823305"/>
      <w:r>
        <w:rPr>
          <w:highlight w:val="none"/>
        </w:rPr>
      </w:r>
      <w:bookmarkStart w:id="159" w:name="_Toc513029233"/>
      <w:r>
        <w:rPr>
          <w:rFonts w:ascii="仿宋" w:hAnsi="仿宋" w:eastAsia="仿宋"/>
          <w:color w:val="000000" w:themeColor="text1"/>
          <w:sz w:val="28"/>
          <w:szCs w:val="28"/>
          <w:highlight w:val="none"/>
          <w14:textFill>
            <w14:solidFill>
              <w14:schemeClr w14:val="tx1"/>
            </w14:solidFill>
          </w14:textFill>
        </w:rPr>
        <w:t xml:space="preserve">25</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，有权要求投标人作出必要的澄清、说明或者补正。</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评标</w:t>
      </w:r>
      <w:r>
        <w:rPr>
          <w:rFonts w:ascii="仿宋" w:hAnsi="仿宋" w:eastAsia="仿宋"/>
          <w:color w:val="000000" w:themeColor="text1"/>
          <w:sz w:val="28"/>
          <w:szCs w:val="28"/>
          <w:highlight w:val="none"/>
          <w14:textFill>
            <w14:solidFill>
              <w14:schemeClr w14:val="tx1"/>
            </w14:solidFill>
          </w14:textFill>
        </w:rPr>
        <w:t xml:space="preserve">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48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ind w:firstLine="48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olor w:val="000000" w:themeColor="text1"/>
          <w:sz w:val="28"/>
          <w:szCs w:val="28"/>
          <w:highlight w:val="none"/>
          <w14:textFill>
            <w14:solidFill>
              <w14:schemeClr w14:val="tx1"/>
            </w14:solidFill>
          </w14:textFill>
        </w:rPr>
        <w:t xml:space="preserve">澄清、说明和补正，其风险由投标人自行承担。</w:t>
      </w:r>
      <w:r>
        <w:rPr>
          <w:highlight w:val="none"/>
        </w:rPr>
      </w:r>
      <w:r/>
    </w:p>
    <w:p>
      <w:pPr>
        <w:keepLines/>
        <w:keepNext/>
        <w:spacing w:line="480" w:lineRule="exact"/>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26.</w:t>
      </w:r>
      <w:r>
        <w:rPr>
          <w:rFonts w:hint="eastAsia" w:ascii="仿宋" w:hAnsi="仿宋" w:eastAsia="仿宋" w:cs="Arial"/>
          <w:color w:val="000000" w:themeColor="text1"/>
          <w:sz w:val="28"/>
          <w:szCs w:val="28"/>
          <w:highlight w:val="none"/>
          <w14:textFill>
            <w14:solidFill>
              <w14:schemeClr w14:val="tx1"/>
            </w14:solidFill>
          </w14:textFill>
        </w:rPr>
        <w:t xml:space="preserve">对投标文件的初审</w:t>
      </w:r>
      <w:bookmarkEnd w:id="157"/>
      <w:r>
        <w:rPr>
          <w:highlight w:val="none"/>
        </w:rPr>
      </w:r>
      <w:bookmarkEnd w:id="158"/>
      <w:r>
        <w:rPr>
          <w:highlight w:val="none"/>
        </w:rPr>
      </w:r>
      <w:bookmarkEnd w:id="159"/>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投标文件初审分为资格审查和符合性审查。</w:t>
      </w:r>
      <w:r>
        <w:rPr>
          <w:highlight w:val="none"/>
        </w:rPr>
      </w:r>
      <w:r/>
    </w:p>
    <w:p>
      <w:pPr>
        <w:ind w:firstLine="562"/>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rPr>
          <w:highlight w:val="none"/>
        </w:rPr>
      </w:r>
      <w:r/>
    </w:p>
    <w:p>
      <w:pPr>
        <w:ind w:firstLine="562"/>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查询结果留存并归档。</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联合体成员中任何一方存在不良信用记录的，视同联合体存在不良应用记录。</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6</w:t>
      </w:r>
      <w:r>
        <w:rPr>
          <w:rFonts w:hint="eastAsia" w:ascii="仿宋" w:hAnsi="仿宋" w:eastAsia="仿宋"/>
          <w:bCs/>
          <w:color w:val="000000" w:themeColor="text1"/>
          <w:sz w:val="28"/>
          <w:szCs w:val="28"/>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rPr>
          <w:highlight w:val="none"/>
        </w:rPr>
      </w:r>
      <w:r/>
    </w:p>
    <w:p>
      <w:pPr>
        <w:ind w:firstLine="562"/>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 xml:space="preserve">苏采云系统</w:t>
      </w:r>
      <w:r>
        <w:rPr>
          <w:rFonts w:hint="eastAsia" w:ascii="仿宋" w:hAnsi="仿宋" w:eastAsia="仿宋"/>
          <w:b/>
          <w:bCs/>
          <w:color w:val="000000" w:themeColor="text1"/>
          <w:sz w:val="28"/>
          <w:szCs w:val="28"/>
          <w:highlight w:val="none"/>
          <w14:textFill>
            <w14:solidFill>
              <w14:schemeClr w14:val="tx1"/>
            </w14:solidFill>
          </w14:textFill>
        </w:rPr>
        <w:t xml:space="preserve">中告知未通过资格审查或符合性审查的原因，评审结束后，南通市教育技术中心将不再告知未通过资格审查或符合性审查的原因。</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 xml:space="preserve">评委决定投标文件的响应性只根据投标文件本身的内容，而不寻求外部的证据。</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bCs/>
          <w:color w:val="000000" w:themeColor="text1"/>
          <w:sz w:val="28"/>
          <w:szCs w:val="28"/>
          <w:highlight w:val="none"/>
          <w14:textFill>
            <w14:solidFill>
              <w14:schemeClr w14:val="tx1"/>
            </w14:solidFill>
          </w14:textFill>
        </w:rPr>
        <w:t xml:space="preserve">合要求的偏离或保留而使其投标成为实质性响应的投标。</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bCs/>
          <w:color w:val="000000" w:themeColor="text1"/>
          <w:sz w:val="28"/>
          <w:szCs w:val="28"/>
          <w:highlight w:val="none"/>
          <w14:textFill>
            <w14:solidFill>
              <w14:schemeClr w14:val="tx1"/>
            </w14:solidFill>
          </w14:textFill>
        </w:rPr>
        <w:t xml:space="preserve">评委会将对确定为实质性响应的投标进行进一步审核，看其是否有计算上或累加上的算术错误，修正错误的原则如下：</w:t>
      </w:r>
      <w:r>
        <w:rPr>
          <w:highlight w:val="none"/>
        </w:rPr>
      </w: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rPr>
          <w:highlight w:val="none"/>
        </w:rPr>
      </w: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（2）大写金额和小写金额不一致的，以大写金额为准。</w:t>
      </w:r>
      <w:r>
        <w:rPr>
          <w:highlight w:val="none"/>
        </w:rPr>
      </w: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（4）总价金额与按单价汇总金额不一致的，以单价金额计算结果为准。</w:t>
      </w:r>
      <w:r>
        <w:rPr>
          <w:highlight w:val="none"/>
        </w:rPr>
      </w:r>
      <w:r/>
    </w:p>
    <w:p>
      <w:pPr>
        <w:ind w:firstLine="560"/>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同时出现两种以上错误的，按照前款规定的顺序修正。</w:t>
      </w:r>
      <w:r>
        <w:rPr>
          <w:highlight w:val="none"/>
        </w:rPr>
      </w:r>
      <w:r/>
    </w:p>
    <w:p>
      <w:pPr>
        <w:ind w:firstLine="560"/>
        <w:spacing w:line="48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bCs/>
          <w:color w:val="000000" w:themeColor="text1"/>
          <w:sz w:val="28"/>
          <w:szCs w:val="28"/>
          <w:highlight w:val="none"/>
          <w14:textFill>
            <w14:solidFill>
              <w14:schemeClr w14:val="tx1"/>
            </w14:solidFill>
          </w14:textFill>
        </w:rPr>
        <w:t xml:space="preserve">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w:t>
      </w:r>
      <w:r>
        <w:rPr>
          <w:rFonts w:hint="eastAsia" w:ascii="仿宋" w:hAnsi="仿宋" w:eastAsia="仿宋"/>
          <w:bCs/>
          <w:color w:val="000000" w:themeColor="text1"/>
          <w:sz w:val="28"/>
          <w:szCs w:val="28"/>
          <w:highlight w:val="none"/>
          <w14:textFill>
            <w14:solidFill>
              <w14:schemeClr w14:val="tx1"/>
            </w14:solidFill>
          </w14:textFill>
        </w:rPr>
        <w:t xml:space="preserve">告知</w:t>
      </w:r>
      <w:r>
        <w:rPr>
          <w:rFonts w:ascii="仿宋" w:hAnsi="仿宋" w:eastAsia="仿宋"/>
          <w:bCs/>
          <w:color w:val="000000" w:themeColor="text1"/>
          <w:sz w:val="28"/>
          <w:szCs w:val="28"/>
          <w:highlight w:val="none"/>
          <w14:textFill>
            <w14:solidFill>
              <w14:schemeClr w14:val="tx1"/>
            </w14:solidFill>
          </w14:textFill>
        </w:rPr>
        <w:t xml:space="preserve">投标人，</w:t>
      </w:r>
      <w:r>
        <w:rPr>
          <w:rFonts w:hint="eastAsia" w:ascii="仿宋" w:hAnsi="仿宋" w:eastAsia="仿宋"/>
          <w:bCs/>
          <w:color w:val="000000" w:themeColor="text1"/>
          <w:sz w:val="28"/>
          <w:szCs w:val="28"/>
          <w:highlight w:val="none"/>
          <w14:textFill>
            <w14:solidFill>
              <w14:schemeClr w14:val="tx1"/>
            </w14:solidFill>
          </w14:textFill>
        </w:rPr>
        <w:t xml:space="preserve">调整后的价格应对投标人具有约束力。如果投标人不接受修正后的价格，则其投标将被拒绝。</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160" w:name="_Toc513029234"/>
      <w:r>
        <w:rPr>
          <w:highlight w:val="none"/>
        </w:rPr>
      </w:r>
      <w:bookmarkStart w:id="161" w:name="_Toc20823306"/>
      <w:r>
        <w:rPr>
          <w:highlight w:val="none"/>
        </w:rPr>
      </w:r>
      <w:bookmarkStart w:id="162" w:name="_Toc16938550"/>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 xml:space="preserve">随机抽取</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方式</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确定一个参加评标的投标人，其他投标无效。</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一个中标候选人</w:t>
      </w:r>
      <w:r>
        <w:rPr>
          <w:rFonts w:ascii="仿宋" w:hAnsi="仿宋" w:eastAsia="仿宋"/>
          <w:color w:val="000000" w:themeColor="text1"/>
          <w:sz w:val="28"/>
          <w:szCs w:val="28"/>
          <w:highlight w:val="none"/>
          <w14:textFill>
            <w14:solidFill>
              <w14:schemeClr w14:val="tx1"/>
            </w14:solidFill>
          </w14:textFill>
        </w:rPr>
        <w:t xml:space="preserve">，其他同品牌投标人不作为中标候选人。</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8"/>
          <w:szCs w:val="28"/>
          <w:highlight w:val="none"/>
          <w14:textFill>
            <w14:solidFill>
              <w14:schemeClr w14:val="tx1"/>
            </w14:solidFill>
          </w14:textFill>
        </w:rPr>
        <w:t xml:space="preserve">将载明其中的核心产品</w:t>
      </w:r>
      <w:r>
        <w:rPr>
          <w:rFonts w:ascii="仿宋" w:hAnsi="仿宋" w:eastAsia="仿宋"/>
          <w:color w:val="000000" w:themeColor="text1"/>
          <w:sz w:val="28"/>
          <w:szCs w:val="28"/>
          <w:highlight w:val="none"/>
          <w14:textFill>
            <w14:solidFill>
              <w14:schemeClr w14:val="tx1"/>
            </w14:solidFill>
          </w14:textFill>
        </w:rPr>
        <w:t xml:space="preserve">。多家投标人提供的核心产品品牌相同的，按前两款规定处理。</w:t>
      </w:r>
      <w:r>
        <w:rPr>
          <w:highlight w:val="none"/>
        </w:rPr>
      </w:r>
      <w:r/>
    </w:p>
    <w:p>
      <w:pPr>
        <w:ind w:firstLine="42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.7投标人在开、评标全过程中应保持通讯畅通，及时登录苏采云系统查阅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并安排专人与南通市教育技术中心及评标委员会联系。</w:t>
      </w:r>
      <w:bookmarkEnd w:id="160"/>
      <w:r>
        <w:rPr>
          <w:highlight w:val="none"/>
        </w:rPr>
      </w:r>
      <w:bookmarkEnd w:id="161"/>
      <w:r>
        <w:rPr>
          <w:highlight w:val="none"/>
        </w:rPr>
      </w:r>
      <w:bookmarkEnd w:id="162"/>
      <w:r>
        <w:rPr>
          <w:highlight w:val="none"/>
        </w:rPr>
      </w:r>
      <w:r/>
    </w:p>
    <w:p>
      <w:pPr>
        <w:pStyle w:val="1261"/>
        <w:numPr>
          <w:ilvl w:val="0"/>
          <w:numId w:val="0"/>
        </w:numPr>
        <w:rPr>
          <w:rFonts w:hint="eastAsia" w:ascii="仿宋" w:hAnsi="仿宋" w:eastAsia="仿宋" w:cs="Times New Roman"/>
          <w:color w:val="000000" w:themeColor="text1"/>
          <w:sz w:val="28"/>
          <w:szCs w:val="28"/>
          <w:highlight w:val="none"/>
          <w14:textFill>
            <w14:solidFill>
              <w14:schemeClr w14:val="tx1"/>
            </w14:solidFill>
          </w14:textFill>
        </w:rPr>
      </w:pPr>
      <w:r>
        <w:rPr>
          <w:highlight w:val="none"/>
        </w:rPr>
      </w:r>
      <w:bookmarkStart w:id="163" w:name="_Toc20823307"/>
      <w:r>
        <w:rPr>
          <w:highlight w:val="none"/>
        </w:rPr>
      </w:r>
      <w:bookmarkStart w:id="164" w:name="_Toc16938551"/>
      <w:r>
        <w:rPr>
          <w:highlight w:val="none"/>
        </w:rPr>
      </w:r>
      <w:bookmarkStart w:id="165" w:name="_Toc513029235"/>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27.异常低价审查</w:t>
      </w:r>
      <w:r>
        <w:rPr>
          <w:highlight w:val="none"/>
        </w:rPr>
      </w:r>
      <w:r/>
    </w:p>
    <w:p>
      <w:pPr>
        <w:ind w:firstLine="480"/>
        <w:spacing w:line="460" w:lineRule="exact"/>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27.1</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根据省财政厅《关于推动解决政府采购异常低价问题相关工作的通知》（苏财购〔2025〕62号）要求，评审过程中出现下列情形之一的，评审委员会应当启动异常低价投标（响应）审查程序：</w:t>
      </w:r>
      <w:r>
        <w:rPr>
          <w:highlight w:val="none"/>
        </w:rPr>
      </w: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（1）投标（响应）报价低于采购项目预算50%的，即投标（响应）报价&lt;采购项目预算×50%;</w:t>
      </w:r>
      <w:r>
        <w:rPr>
          <w:highlight w:val="none"/>
        </w:rPr>
      </w: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（2）投标(响应)报价低于采购项目最高限价45%的，即投标(响应)报价&lt;采购项目最高限价×45%;</w:t>
      </w:r>
      <w:r>
        <w:rPr>
          <w:highlight w:val="none"/>
        </w:rPr>
      </w: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（3）评审委员会认定的供应商报价过低、有可能影响产品质量或者不能诚信履约的其他情形。</w:t>
      </w:r>
      <w:r>
        <w:rPr>
          <w:highlight w:val="none"/>
        </w:rPr>
      </w:r>
      <w:r/>
    </w:p>
    <w:p>
      <w:pPr>
        <w:ind w:firstLine="480"/>
        <w:spacing w:line="4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keepLines/>
        <w:keepNext/>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28.无效投标条款和废标条款</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28.1无效投标条款</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 投标人在苏采云系统规定的时间内未成功解密电子投标文件的。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28.1.2 投标人未按照招标文件要求上传电子投标文件的。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28.1.3投标人同一分包提交两个（含两个）以上不同的投标报价的。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28.1.4投标人不具备招标文件中规定资格要求的。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28.1.5投标人的报价超过了采购预算或最高限价的。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28.1.6未通过符合性审查的。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28.1.7不符合招标文件中规定的实质性要求的（详见本招标文件第四章采购需求中斜体且有下划线部分）。</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28.1.9  投标文件含有采购人不能接受的附加条件的。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28.1.12 投标文件未按照招标文件要求加盖CA电子公章的。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28.1.13投标人的商务技术部分得分相差异常悬殊，评标委员会一致认为得分畸低者有可能影响产品质量或者不能诚信履约的。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28.1.14启动异常低价投标审查后，投标人不提供书面说明、证明材料，或者提供的书面说明、证明材料不能证明其报价合理性的。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28.1.15其他法律法规及本招标文件规定的属于无效投标的情形。</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28.2废标条款</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28.2.1符合专业条件的供应商或者对招标文件作实质响应的供应商不足三家的。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28.2.2出现影响采购公正的违法、违规行为的。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28.2.3因重大变故，采购任务取消的。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28.2.4评标委员会认定招标文件存在歧义、重大缺陷导致评审工作无法进行。</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28.2.5 因苏采云系统系统故障原因造成开标不成功的。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 投标截止时间结束后参加投标的供应商不足三家的处理：</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28.3.1如出现投标截止时间结束后参加投标的供应商或者在评标期间对招标文件做出实质响应的供应商不足三家情况，按政府采购相关规定执行。</w:t>
      </w:r>
      <w:r>
        <w:rPr>
          <w:highlight w:val="none"/>
        </w:rPr>
      </w:r>
      <w:r/>
    </w:p>
    <w:p>
      <w:pPr>
        <w:keepLines/>
        <w:keepNext/>
        <w:spacing w:before="120" w:after="120" w:line="480" w:lineRule="exact"/>
        <w:rPr>
          <w:rFonts w:hint="eastAsia" w:ascii="仿宋" w:hAnsi="仿宋" w:eastAsia="仿宋" w:cs="Times New Roman"/>
          <w:color w:val="000000" w:themeColor="text1"/>
          <w:sz w:val="28"/>
          <w:szCs w:val="28"/>
          <w:highlight w:val="none"/>
          <w14:textFill>
            <w14:solidFill>
              <w14:schemeClr w14:val="tx1"/>
            </w14:solidFill>
          </w14:textFill>
        </w:rPr>
        <w:outlineLvl w:val="2"/>
      </w:pPr>
      <w:r>
        <w:rPr>
          <w:highlight w:val="none"/>
        </w:rPr>
      </w:r>
      <w:bookmarkStart w:id="166"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六、</w:t>
      </w:r>
      <w:bookmarkEnd w:id="163"/>
      <w:r>
        <w:rPr>
          <w:highlight w:val="none"/>
        </w:rPr>
      </w:r>
      <w:bookmarkEnd w:id="164"/>
      <w:r>
        <w:rPr>
          <w:highlight w:val="none"/>
        </w:rPr>
      </w:r>
      <w:bookmarkEnd w:id="165"/>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定标</w:t>
      </w:r>
      <w:bookmarkEnd w:id="166"/>
      <w:r>
        <w:rPr>
          <w:highlight w:val="none"/>
        </w:rPr>
      </w:r>
      <w:r/>
    </w:p>
    <w:p>
      <w:pPr>
        <w:keepLines/>
        <w:keepNext/>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outlineLvl w:val="3"/>
      </w:pPr>
      <w:r>
        <w:rPr>
          <w:highlight w:val="none"/>
        </w:rPr>
      </w:r>
      <w:bookmarkStart w:id="167" w:name="_Toc513029238"/>
      <w:r>
        <w:rPr>
          <w:highlight w:val="none"/>
        </w:rPr>
      </w:r>
      <w:bookmarkStart w:id="168" w:name="_Toc20823310"/>
      <w:r>
        <w:rPr>
          <w:highlight w:val="none"/>
        </w:rPr>
      </w:r>
      <w:bookmarkStart w:id="169" w:name="_Toc16938554"/>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w:t>
      </w:r>
      <w:bookmarkEnd w:id="167"/>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确定</w:t>
      </w:r>
      <w:bookmarkEnd w:id="168"/>
      <w:r>
        <w:rPr>
          <w:highlight w:val="none"/>
        </w:rPr>
      </w:r>
      <w:bookmarkEnd w:id="16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中标单位</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29.2 采购人应根据评委会推荐的中标候选人确定中标人。</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29.3 南通市教育技术中心将在“江苏政府采购网”发布中标公告，公告期限为1个工作日。</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 若有充分证据证明，中标人出现下列情况之一的，一经查实，将被取消中标资格：</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29.4.1提供虚假材料谋取中标的。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29.4.2向采购人、南通市教育技术中心行贿或者提供其他不正当利益的。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29.4.3属于本文件规定的无效条件，但在评标过程中又未被评委会发现的。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29.4.4与采购人或者其他供应商恶意串通的。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29.4.5采取不正当手段诋毁、排挤其他供应商的。</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highlight w:val="none"/>
        </w:rPr>
      </w:r>
      <w:bookmarkStart w:id="170"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29.5.有下列情形之一的，视为投标人串通投标，投标无效：</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29.5.1不同投标人的投标文件由同一单位或者个人编制；</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29.5.2不同投标人委托同一单位或者个人办理投标事宜；</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29.5.3 不同投标人的投标文件载明的项目管理成员或者联系人员为同一人；</w:t>
      </w:r>
      <w:r>
        <w:rPr>
          <w:highlight w:val="none"/>
        </w:rPr>
      </w:r>
      <w:r/>
    </w:p>
    <w:p>
      <w:pPr>
        <w:ind w:firstLine="560"/>
        <w:spacing w:line="48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29.5.4不同投标人的投标文件异常一致或者投标报价呈规律性差异；</w:t>
      </w:r>
      <w:r>
        <w:rPr>
          <w:highlight w:val="none"/>
        </w:rPr>
      </w: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14:textFill>
            <w14:solidFill>
              <w14:schemeClr w14:val="tx1"/>
            </w14:solidFill>
          </w14:textFill>
        </w:rPr>
        <w:t xml:space="preserve">质疑处理</w:t>
      </w:r>
      <w:bookmarkEnd w:id="170"/>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rPr>
          <w:highlight w:val="none"/>
        </w:rPr>
      </w:r>
      <w:r/>
    </w:p>
    <w:p>
      <w:pPr>
        <w:ind w:firstLine="56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.2.1</w:t>
      </w:r>
      <w:r>
        <w:rPr>
          <w:rFonts w:ascii="仿宋" w:hAnsi="仿宋" w:eastAsia="仿宋" w:cs="宋体"/>
          <w:color w:val="000000" w:themeColor="text1"/>
          <w:sz w:val="28"/>
          <w:szCs w:val="28"/>
          <w:highlight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s="宋体"/>
          <w:color w:val="000000" w:themeColor="text1"/>
          <w:sz w:val="28"/>
          <w:szCs w:val="28"/>
          <w:highlight w:val="none"/>
          <w14:textFill>
            <w14:solidFill>
              <w14:schemeClr w14:val="tx1"/>
            </w14:solidFill>
          </w14:textFill>
        </w:rPr>
        <w:t xml:space="preserve">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.2.3</w:t>
      </w:r>
      <w:r>
        <w:rPr>
          <w:rFonts w:ascii="仿宋" w:hAnsi="仿宋" w:eastAsia="仿宋" w:cs="宋体"/>
          <w:color w:val="000000" w:themeColor="text1"/>
          <w:sz w:val="28"/>
          <w:szCs w:val="28"/>
          <w:highlight w:val="none"/>
          <w14:textFill>
            <w14:solidFill>
              <w14:schemeClr w14:val="tx1"/>
            </w14:solidFill>
          </w14:textFill>
        </w:rPr>
        <w:t xml:space="preserve">对中标或者成交结果提出质疑的，为中标或者成交结果公告期限届满之日。</w:t>
      </w:r>
      <w:r>
        <w:rPr>
          <w:highlight w:val="none"/>
        </w:rPr>
      </w:r>
      <w:r/>
    </w:p>
    <w:p>
      <w:pPr>
        <w:ind w:firstLine="560"/>
        <w:spacing w:line="48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 xml:space="preserve">采购人</w:t>
      </w:r>
      <w:r>
        <w:rPr>
          <w:rFonts w:hint="eastAsia" w:ascii="仿宋" w:hAnsi="仿宋" w:eastAsia="仿宋" w:cs="宋体"/>
          <w:color w:val="000000" w:themeColor="text1"/>
          <w:sz w:val="28"/>
          <w:szCs w:val="28"/>
          <w:highlight w:val="none"/>
          <w14:textFill>
            <w14:solidFill>
              <w14:schemeClr w14:val="tx1"/>
            </w14:solidFill>
          </w14:textFill>
        </w:rPr>
        <w:t xml:space="preserve">将只对供应商第一次质疑作出答复。</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right="119" w:firstLine="560"/>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.4 </w:t>
      </w:r>
      <w:r>
        <w:rPr>
          <w:rFonts w:hint="eastAsia" w:ascii="仿宋" w:hAnsi="仿宋" w:eastAsia="仿宋" w:cs="宋体"/>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采购人及南通市教育技术中心只接收以纸质原件形式送达的质疑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建议供应商尽量通过邮寄方式提交质疑（采购人和南通市教育技术中心不接受无快递运</w:t>
      </w:r>
      <w:r>
        <w:rPr>
          <w:rFonts w:ascii="仿宋" w:hAnsi="仿宋" w:eastAsia="仿宋"/>
          <w:color w:val="000000" w:themeColor="text1"/>
          <w:sz w:val="28"/>
          <w:szCs w:val="28"/>
          <w:highlight w:val="none"/>
          <w14:textFill>
            <w14:solidFill>
              <w14:schemeClr w14:val="tx1"/>
            </w14:solidFill>
          </w14:textFill>
        </w:rPr>
        <w:t xml:space="preserve">单号</w:t>
      </w:r>
      <w:r>
        <w:rPr>
          <w:rFonts w:hint="eastAsia" w:ascii="仿宋" w:hAnsi="仿宋" w:eastAsia="仿宋"/>
          <w:color w:val="000000" w:themeColor="text1"/>
          <w:sz w:val="28"/>
          <w:szCs w:val="28"/>
          <w:highlight w:val="none"/>
          <w14:textFill>
            <w14:solidFill>
              <w14:schemeClr w14:val="tx1"/>
            </w14:solidFill>
          </w14:textFill>
        </w:rPr>
        <w:t xml:space="preserve">的快递）。</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南通市教育技术中心质疑接收部门为采购科（快递运单上的收件人填写“采购科”即可），联系地址：南通市崇川区板桥路45号南通市教育技术中心采购科，联系电话：0513-85010355。</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采购人质疑接收人及联系方式见招标文件第一章。</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 以下情形的质疑不予受理</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.5.1 内容不符合《政府采购质疑和投诉办法》第十二条规定的质疑。</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.5.2 超出政府采购法定期限的质疑。</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.5.3 以传真、电子邮件等方式递交的非原件形式的质疑。</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.5.4 未参加投标活动的供应商或在投标活动中自身权益未受到损害的供应商所提出的质疑。</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.5.5供应商组成联合体参加投标，联合体中任何一方或多方未按要求签字、盖章、加盖公章的质疑。</w:t>
      </w:r>
      <w:r>
        <w:rPr>
          <w:highlight w:val="none"/>
        </w:rPr>
      </w:r>
      <w:r/>
    </w:p>
    <w:p>
      <w:pPr>
        <w:ind w:firstLine="546"/>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rPr>
          <w:highlight w:val="none"/>
        </w:rPr>
      </w: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31.</w:t>
      </w:r>
      <w:r>
        <w:rPr>
          <w:rFonts w:hint="eastAsia" w:ascii="仿宋" w:hAnsi="仿宋" w:eastAsia="仿宋"/>
          <w:bCs/>
          <w:color w:val="000000" w:themeColor="text1"/>
          <w:sz w:val="28"/>
          <w:szCs w:val="28"/>
          <w:highlight w:val="none"/>
          <w14:textFill>
            <w14:solidFill>
              <w14:schemeClr w14:val="tx1"/>
            </w14:solidFill>
          </w14:textFill>
        </w:rPr>
        <w:t xml:space="preserve">中标通知书</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因未及时下载而造成的不利后果由中标人自行承担。</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keepLines/>
        <w:keepNext/>
        <w:spacing w:before="120" w:after="120" w:line="480" w:lineRule="exact"/>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71" w:name="_Toc120614220"/>
      <w:r>
        <w:rPr>
          <w:highlight w:val="none"/>
        </w:rPr>
      </w:r>
      <w:bookmarkStart w:id="172" w:name="_Toc20823308"/>
      <w:r>
        <w:rPr>
          <w:highlight w:val="none"/>
        </w:rPr>
      </w:r>
      <w:bookmarkStart w:id="173" w:name="_Toc513029236"/>
      <w:r>
        <w:rPr>
          <w:highlight w:val="none"/>
        </w:rPr>
      </w:r>
      <w:bookmarkStart w:id="174" w:name="_Toc16938552"/>
      <w:r>
        <w:rPr>
          <w:rFonts w:hint="eastAsia" w:ascii="仿宋" w:hAnsi="仿宋" w:eastAsia="仿宋"/>
          <w:b/>
          <w:bCs/>
          <w:color w:val="000000" w:themeColor="text1"/>
          <w:sz w:val="28"/>
          <w:szCs w:val="28"/>
          <w:highlight w:val="none"/>
          <w14:textFill>
            <w14:solidFill>
              <w14:schemeClr w14:val="tx1"/>
            </w14:solidFill>
          </w14:textFill>
        </w:rPr>
        <w:t xml:space="preserve">七、授予合同</w:t>
      </w:r>
      <w:bookmarkEnd w:id="171"/>
      <w:r>
        <w:rPr>
          <w:highlight w:val="none"/>
        </w:rPr>
      </w:r>
      <w:bookmarkEnd w:id="172"/>
      <w:r>
        <w:rPr>
          <w:highlight w:val="none"/>
        </w:rPr>
      </w:r>
      <w:bookmarkEnd w:id="173"/>
      <w:r>
        <w:rPr>
          <w:highlight w:val="none"/>
        </w:rPr>
      </w:r>
      <w:bookmarkEnd w:id="174"/>
      <w:r>
        <w:rPr>
          <w:highlight w:val="none"/>
        </w:rPr>
      </w: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75" w:name="_Toc513029237"/>
      <w:r>
        <w:rPr>
          <w:highlight w:val="none"/>
        </w:rPr>
      </w:r>
      <w:bookmarkStart w:id="176" w:name="_Toc16938553"/>
      <w:r>
        <w:rPr>
          <w:highlight w:val="none"/>
        </w:rPr>
      </w:r>
      <w:bookmarkStart w:id="177" w:name="_Toc20823309"/>
      <w:r>
        <w:rPr>
          <w:rFonts w:hint="eastAsia" w:ascii="仿宋" w:hAnsi="仿宋" w:eastAsia="仿宋"/>
          <w:bCs/>
          <w:color w:val="000000" w:themeColor="text1"/>
          <w:sz w:val="28"/>
          <w:szCs w:val="28"/>
          <w:highlight w:val="none"/>
          <w:lang w:eastAsia="zh-CN"/>
          <w14:textFill>
            <w14:solidFill>
              <w14:schemeClr w14:val="tx1"/>
            </w14:solidFill>
          </w14:textFill>
        </w:rPr>
        <w:t xml:space="preserve">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r>
        <w:rPr>
          <w:highlight w:val="none"/>
        </w:rPr>
      </w:r>
      <w:r/>
    </w:p>
    <w:p>
      <w:pPr>
        <w:ind w:firstLine="70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.l中标人应当在中标通知书发出之日起三十日内，按照招标文件确定的事项与采购人签订政府采购合同。</w:t>
      </w:r>
      <w:r>
        <w:rPr>
          <w:highlight w:val="none"/>
        </w:rPr>
      </w:r>
      <w:r/>
    </w:p>
    <w:p>
      <w:pPr>
        <w:ind w:firstLine="70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招标文件、中标人的投标文件及招标过程中有关澄清、承诺文件均应作为合同附件。</w:t>
      </w:r>
      <w:r>
        <w:rPr>
          <w:highlight w:val="none"/>
        </w:rPr>
      </w:r>
      <w:r/>
    </w:p>
    <w:p>
      <w:pPr>
        <w:ind w:firstLine="70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rPr>
          <w:highlight w:val="none"/>
        </w:rPr>
      </w:r>
      <w:r/>
    </w:p>
    <w:p>
      <w:pPr>
        <w:keepLines/>
        <w:keepNext/>
        <w:spacing w:line="480" w:lineRule="exact"/>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33.</w:t>
      </w:r>
      <w:r>
        <w:rPr>
          <w:rFonts w:hint="eastAsia" w:ascii="仿宋" w:hAnsi="仿宋" w:eastAsia="仿宋"/>
          <w:bCs/>
          <w:color w:val="000000" w:themeColor="text1"/>
          <w:sz w:val="28"/>
          <w:szCs w:val="28"/>
          <w:highlight w:val="none"/>
          <w14:textFill>
            <w14:solidFill>
              <w14:schemeClr w14:val="tx1"/>
            </w14:solidFill>
          </w14:textFill>
        </w:rPr>
        <w:t xml:space="preserve">货物（包含与货物相关的服务）的追加</w:t>
      </w:r>
      <w:r>
        <w:rPr>
          <w:highlight w:val="none"/>
        </w:rPr>
      </w:r>
      <w:r/>
    </w:p>
    <w:p>
      <w:pPr>
        <w:ind w:firstLine="560"/>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5"/>
      <w:r>
        <w:rPr>
          <w:highlight w:val="none"/>
        </w:rPr>
      </w:r>
      <w:bookmarkEnd w:id="176"/>
      <w:r>
        <w:rPr>
          <w:highlight w:val="none"/>
        </w:rPr>
      </w:r>
      <w:bookmarkEnd w:id="177"/>
      <w:r>
        <w:rPr>
          <w:highlight w:val="none"/>
        </w:rPr>
      </w:r>
      <w:r/>
    </w:p>
    <w:p>
      <w:pPr>
        <w:keepLines/>
        <w:keepNext/>
        <w:spacing w:line="480" w:lineRule="exact"/>
        <w:rPr>
          <w:rFonts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78" w:name="_Toc16938558"/>
      <w:r>
        <w:rPr>
          <w:highlight w:val="none"/>
        </w:rPr>
      </w:r>
      <w:bookmarkStart w:id="179" w:name="_Toc120614221"/>
      <w:r>
        <w:rPr>
          <w:highlight w:val="none"/>
        </w:rPr>
      </w:r>
      <w:bookmarkStart w:id="180" w:name="_Toc20823314"/>
      <w:r>
        <w:rPr>
          <w:highlight w:val="none"/>
        </w:rPr>
      </w:r>
      <w:bookmarkStart w:id="181" w:name="_Toc513029242"/>
      <w:r>
        <w:rPr>
          <w:highlight w:val="none"/>
        </w:rPr>
      </w:r>
      <w:bookmarkStart w:id="182" w:name="_Toc479757207"/>
      <w:r>
        <w:rPr>
          <w:rFonts w:hint="eastAsia" w:ascii="仿宋" w:hAnsi="仿宋" w:eastAsia="仿宋"/>
          <w:bCs/>
          <w:color w:val="000000" w:themeColor="text1"/>
          <w:sz w:val="28"/>
          <w:szCs w:val="28"/>
          <w:highlight w:val="none"/>
          <w:lang w:eastAsia="zh-CN"/>
          <w14:textFill>
            <w14:solidFill>
              <w14:schemeClr w14:val="tx1"/>
            </w14:solidFill>
          </w14:textFill>
        </w:rPr>
        <w:t xml:space="preserve">34.</w:t>
      </w:r>
      <w:r>
        <w:rPr>
          <w:rFonts w:hint="eastAsia" w:ascii="仿宋" w:hAnsi="仿宋" w:eastAsia="仿宋"/>
          <w:bCs/>
          <w:color w:val="000000" w:themeColor="text1"/>
          <w:sz w:val="28"/>
          <w:szCs w:val="28"/>
          <w:highlight w:val="none"/>
          <w14:textFill>
            <w14:solidFill>
              <w14:schemeClr w14:val="tx1"/>
            </w14:solidFill>
          </w14:textFill>
        </w:rPr>
        <w:t xml:space="preserve">政府采购履约资金扶持政策</w:t>
      </w:r>
      <w:r>
        <w:rPr>
          <w:highlight w:val="none"/>
        </w:rPr>
      </w:r>
      <w:r/>
    </w:p>
    <w:p>
      <w:pPr>
        <w:ind w:firstLine="555"/>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r/>
    </w:p>
    <w:p>
      <w:pPr>
        <w:rPr>
          <w:rFonts w:hint="eastAsia" w:ascii="黑体" w:eastAsia="黑体"/>
          <w:bCs/>
          <w:color w:val="000000" w:themeColor="text1"/>
          <w:sz w:val="44"/>
          <w:szCs w:val="28"/>
          <w:highlight w:val="none"/>
          <w14:textFill>
            <w14:solidFill>
              <w14:schemeClr w14:val="tx1"/>
            </w14:solidFill>
          </w14:textFill>
        </w:rPr>
      </w:pPr>
      <w:r>
        <w:rPr>
          <w:highlight w:val="none"/>
        </w:rPr>
      </w:r>
      <w:bookmarkStart w:id="183" w:name="_Toc171068952"/>
      <w:r>
        <w:rPr>
          <w:rFonts w:hint="eastAsia" w:ascii="黑体" w:eastAsia="黑体"/>
          <w:bCs/>
          <w:color w:val="000000" w:themeColor="text1"/>
          <w:sz w:val="44"/>
          <w:szCs w:val="28"/>
          <w:highlight w:val="none"/>
          <w14:textFill>
            <w14:solidFill>
              <w14:schemeClr w14:val="tx1"/>
            </w14:solidFill>
          </w14:textFill>
        </w:rPr>
        <w:br w:type="page" w:clear="all"/>
      </w:r>
      <w:r>
        <w:rPr>
          <w:highlight w:val="none"/>
        </w:rPr>
      </w:r>
      <w:r/>
    </w:p>
    <w:p>
      <w:pPr>
        <w:jc w:val="center"/>
        <w:keepNext/>
        <w:rPr>
          <w:rFonts w:hint="eastAsia" w:ascii="黑体" w:eastAsia="黑体"/>
          <w:bCs/>
          <w:color w:val="000000" w:themeColor="text1"/>
          <w:sz w:val="44"/>
          <w:szCs w:val="2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第三章  合同</w:t>
      </w:r>
      <w:bookmarkEnd w:id="178"/>
      <w:r>
        <w:rPr>
          <w:highlight w:val="none"/>
        </w:rPr>
      </w:r>
      <w:bookmarkEnd w:id="179"/>
      <w:r>
        <w:rPr>
          <w:highlight w:val="none"/>
        </w:rPr>
      </w:r>
      <w:bookmarkEnd w:id="180"/>
      <w:r>
        <w:rPr>
          <w:highlight w:val="none"/>
        </w:rPr>
      </w:r>
      <w:bookmarkEnd w:id="181"/>
      <w:r>
        <w:rPr>
          <w:highlight w:val="none"/>
        </w:rPr>
      </w:r>
      <w:bookmarkEnd w:id="182"/>
      <w:r>
        <w:rPr>
          <w:rFonts w:hint="eastAsia" w:ascii="黑体" w:eastAsia="黑体"/>
          <w:bCs/>
          <w:color w:val="000000" w:themeColor="text1"/>
          <w:sz w:val="44"/>
          <w:szCs w:val="28"/>
          <w:highlight w:val="none"/>
          <w14:textFill>
            <w14:solidFill>
              <w14:schemeClr w14:val="tx1"/>
            </w14:solidFill>
          </w14:textFill>
        </w:rPr>
        <w:t xml:space="preserve">文本</w:t>
      </w:r>
      <w:bookmarkEnd w:id="183"/>
      <w:r>
        <w:rPr>
          <w:highlight w:val="none"/>
        </w:rPr>
      </w:r>
      <w:bookmarkStart w:id="184" w:name="_Hlt16619369"/>
      <w:r>
        <w:rPr>
          <w:highlight w:val="none"/>
        </w:rPr>
      </w:r>
      <w:bookmarkEnd w:id="184"/>
      <w:r>
        <w:rPr>
          <w:highlight w:val="none"/>
        </w:rPr>
      </w:r>
      <w:bookmarkStart w:id="185" w:name="_Hlt16619350"/>
      <w:r>
        <w:rPr>
          <w:highlight w:val="none"/>
        </w:rPr>
      </w:r>
      <w:bookmarkStart w:id="186" w:name="_Toc16938590"/>
      <w:r>
        <w:rPr>
          <w:highlight w:val="none"/>
        </w:rPr>
      </w:r>
      <w:bookmarkStart w:id="187" w:name="_Toc120614244"/>
      <w:r>
        <w:rPr>
          <w:highlight w:val="none"/>
        </w:rPr>
      </w:r>
      <w:bookmarkStart w:id="188" w:name="_Toc20823346"/>
      <w:r>
        <w:rPr>
          <w:highlight w:val="none"/>
        </w:rPr>
      </w:r>
      <w:bookmarkStart w:id="189" w:name="_Toc479757211"/>
      <w:r>
        <w:rPr>
          <w:highlight w:val="none"/>
        </w:rPr>
      </w:r>
      <w:bookmarkStart w:id="190" w:name="_Toc462564139"/>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highlight w:val="none"/>
        </w:rPr>
      </w:r>
      <w:bookmarkStart w:id="191" w:name="_Toc3995"/>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政府采购货物买卖合同</w:t>
      </w:r>
      <w:r>
        <w:rPr>
          <w:highlight w:val="none"/>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（试行）</w:t>
      </w:r>
      <w:r>
        <w:rPr>
          <w:highlight w:val="none"/>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r/>
    </w:p>
    <w:p>
      <w:pPr>
        <w:ind w:firstLine="480"/>
        <w:spacing w:line="360" w:lineRule="auto"/>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r>
        <w:rPr>
          <w:highlight w:val="none"/>
        </w:rPr>
      </w:r>
      <w:r/>
    </w:p>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 用 说 明</w:t>
      </w:r>
      <w:r>
        <w:rPr>
          <w:highlight w:val="none"/>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r>
      <w:r>
        <w:rPr>
          <w:highlight w:val="none"/>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rPr>
          <w:highlight w:val="none"/>
        </w:rPr>
      </w: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rPr>
          <w:highlight w:val="none"/>
        </w:rPr>
      </w: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91"/>
      <w:r>
        <w:rPr>
          <w:highlight w:val="none"/>
        </w:rPr>
      </w:r>
      <w:r/>
    </w:p>
    <w:p>
      <w:pPr>
        <w:rPr>
          <w:rFonts w:eastAsia="黑体"/>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rPr>
          <w:highlight w:val="none"/>
        </w:rPr>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highlight w:val="none"/>
        </w:rPr>
      </w:r>
      <w:bookmarkStart w:id="192"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92"/>
      <w:r>
        <w:rPr>
          <w:highlight w:val="none"/>
        </w:rPr>
      </w: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rFonts w:hint="eastAsia" w:ascii="黑体" w:hAnsi="华文中宋" w:eastAsia="黑体"/>
          <w:color w:val="000000" w:themeColor="text1"/>
          <w:sz w:val="28"/>
          <w:szCs w:val="28"/>
          <w:highlight w:val="none"/>
          <w14:textFill>
            <w14:solidFill>
              <w14:schemeClr w14:val="tx1"/>
            </w14:solidFill>
          </w14:textFill>
        </w:rPr>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w:t>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rPr>
          <w:highlight w:val="none"/>
        </w:rPr>
      </w:r>
      <w:r/>
    </w:p>
    <w:p>
      <w:pPr>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highlight w:val="none"/>
        </w:rPr>
      </w:r>
      <w:r/>
    </w:p>
    <w:p>
      <w:pPr>
        <w:numPr>
          <w:ilvl w:val="0"/>
          <w:numId w:val="5"/>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rPr>
          <w:highlight w:val="none"/>
        </w:rPr>
      </w:r>
      <w:r/>
    </w:p>
    <w:p>
      <w:pPr>
        <w:numPr>
          <w:ilvl w:val="0"/>
          <w:numId w:val="6"/>
        </w:numPr>
        <w:ind w:firstLine="42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highlight w:val="none"/>
        </w:rPr>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rPr>
          <w:highlight w:val="none"/>
        </w:rPr>
      </w:r>
      <w:r/>
    </w:p>
    <w:p>
      <w:pPr>
        <w:ind w:firstLine="52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rPr>
          <w:highlight w:val="none"/>
        </w:rPr>
      </w:r>
      <w:r/>
    </w:p>
    <w:p>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涉及车辆采购，请填写是否属于新能源汽车：</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rPr>
          <w:highlight w:val="none"/>
        </w:rPr>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rPr>
          <w:highlight w:val="none"/>
        </w:rPr>
      </w:r>
      <w:r/>
    </w:p>
    <w:p>
      <w:pPr>
        <w:jc w:val="left"/>
        <w:spacing w:line="400" w:lineRule="exact"/>
        <w:widowControl/>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ind w:firstLine="840"/>
        <w:jc w:val="left"/>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rPr>
          <w:highlight w:val="none"/>
        </w:rPr>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color w:val="000000" w:themeColor="text1"/>
          <w:szCs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14:textFill>
            <w14:solidFill>
              <w14:schemeClr w14:val="tx1"/>
            </w14:solidFill>
          </w14:textFill>
        </w:rPr>
      </w:r>
      <w:r>
        <w:rPr>
          <w:highlight w:val="none"/>
        </w:rPr>
      </w: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rPr>
          <w:highlight w:val="none"/>
        </w:rPr>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rPr>
          <w:highlight w:val="none"/>
        </w:rPr>
      </w:r>
      <w:r/>
    </w:p>
    <w:p>
      <w:pPr>
        <w:ind w:firstLine="840"/>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rPr>
          <w:highlight w:val="none"/>
        </w:rPr>
      </w:r>
      <w:r/>
    </w:p>
    <w:p>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highlight w:val="none"/>
        </w:rPr>
      </w:r>
      <w:r/>
    </w:p>
    <w:p>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tabs>
          <w:tab w:val="left" w:pos="134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部分由外国投资者投资</w:t>
      </w:r>
      <w:r>
        <w:rPr>
          <w:highlight w:val="none"/>
        </w:rPr>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rPr>
          <w:highlight w:val="none"/>
        </w:rPr>
      </w:r>
      <w:r/>
    </w:p>
    <w:p>
      <w:pPr>
        <w:ind w:firstLine="63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r>
        <w:rPr>
          <w:highlight w:val="none"/>
        </w:rPr>
      </w:r>
      <w:r/>
    </w:p>
    <w:p>
      <w:pPr>
        <w:jc w:val="left"/>
        <w:spacing w:line="400" w:lineRule="exact"/>
        <w:widowControl/>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r>
        <w:rPr>
          <w:highlight w:val="none"/>
        </w:rPr>
      </w: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r/>
    </w:p>
    <w:p>
      <w:pPr>
        <w:jc w:val="left"/>
        <w:spacing w:line="400" w:lineRule="exact"/>
        <w:widowControl/>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rPr>
          <w:highlight w:val="none"/>
        </w:rPr>
      </w:r>
      <w:r/>
    </w:p>
    <w:p>
      <w:pPr>
        <w:ind w:firstLine="945"/>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rPr>
          <w:highlight w:val="none"/>
        </w:rPr>
      </w:r>
      <w:r/>
    </w:p>
    <w:p>
      <w:pPr>
        <w:numPr>
          <w:ilvl w:val="0"/>
          <w:numId w:val="5"/>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rPr>
          <w:highlight w:val="none"/>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（3）付款方式（按项目实际勾选填写）：</w:t>
      </w:r>
      <w:r>
        <w:rPr>
          <w:highlight w:val="none"/>
        </w:rPr>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rPr>
          <w:highlight w:val="none"/>
        </w:rPr>
      </w:r>
      <w:r/>
    </w:p>
    <w:p>
      <w:pPr>
        <w:ind w:firstLine="525"/>
        <w:spacing w:line="400" w:lineRule="exact"/>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rPr>
          <w:highlight w:val="none"/>
        </w:rPr>
      </w: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rPr>
          <w:highlight w:val="none"/>
        </w:rPr>
      </w:r>
      <w:r/>
    </w:p>
    <w:p>
      <w:pPr>
        <w:ind w:firstLine="525"/>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rPr>
          <w:highlight w:val="none"/>
        </w:rPr>
      </w:r>
      <w:r/>
    </w:p>
    <w:p>
      <w:pPr>
        <w:numPr>
          <w:ilvl w:val="0"/>
          <w:numId w:val="5"/>
        </w:numPr>
        <w:ind w:firstLine="421"/>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rPr>
          <w:highlight w:val="none"/>
        </w:rPr>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rPr>
          <w:highlight w:val="none"/>
        </w:rPr>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4"/>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ind w:firstLine="315"/>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r/>
    </w:p>
    <w:p>
      <w:pPr>
        <w:numPr>
          <w:ilvl w:val="0"/>
          <w:numId w:val="5"/>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rPr>
          <w:highlight w:val="none"/>
        </w:rPr>
      </w:r>
      <w:r/>
    </w:p>
    <w:p>
      <w:pPr>
        <w:numPr>
          <w:ilvl w:val="0"/>
          <w:numId w:val="7"/>
        </w:num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rPr>
          <w:highlight w:val="none"/>
        </w:rPr>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rPr>
          <w:highlight w:val="none"/>
        </w:rPr>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rPr>
          <w:highlight w:val="none"/>
        </w:rPr>
      </w:r>
      <w:r/>
    </w:p>
    <w:p>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rPr>
          <w:highlight w:val="none"/>
        </w:rPr>
      </w:r>
      <w:r/>
    </w:p>
    <w:p>
      <w:pPr>
        <w:ind w:firstLine="420"/>
        <w:spacing w:line="400" w:lineRule="exact"/>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rPr>
          <w:highlight w:val="none"/>
        </w:rPr>
      </w:r>
      <w:r/>
    </w:p>
    <w:p>
      <w:pPr>
        <w:numPr>
          <w:ilvl w:val="0"/>
          <w:numId w:val="5"/>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rPr>
          <w:highlight w:val="none"/>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rPr>
          <w:highlight w:val="none"/>
        </w:rPr>
      </w: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（8）国家法律、行政法规和规章制度规定或合同约定的作为合同组成部分的其他文件</w:t>
      </w:r>
      <w:r>
        <w:rPr>
          <w:highlight w:val="none"/>
        </w:rPr>
      </w:r>
      <w:r/>
    </w:p>
    <w:p>
      <w:pPr>
        <w:numPr>
          <w:ilvl w:val="0"/>
          <w:numId w:val="5"/>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rPr>
          <w:highlight w:val="none"/>
        </w:rPr>
      </w:r>
      <w:r/>
    </w:p>
    <w:p>
      <w:pPr>
        <w:numPr>
          <w:ilvl w:val="0"/>
          <w:numId w:val="5"/>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highlight w:val="none"/>
        </w:rPr>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r/>
    </w:p>
    <w:p>
      <w:pPr>
        <w:ind w:firstLine="420"/>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highlight w:val="none"/>
        </w:rPr>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Calibri Light" w:hAnsi="Calibri Light"/>
          <w:b/>
          <w:bCs/>
          <w:color w:val="000000" w:themeColor="text1"/>
          <w:sz w:val="32"/>
          <w:szCs w:val="32"/>
          <w:highlight w:val="none"/>
          <w14:textFill>
            <w14:solidFill>
              <w14:schemeClr w14:val="tx1"/>
            </w14:solidFill>
          </w14:textFill>
        </w:rPr>
        <w:br w:type="page" w:clear="all"/>
      </w:r>
      <w:r>
        <w:rPr>
          <w:highlight w:val="none"/>
        </w:rPr>
      </w:r>
      <w:r/>
    </w:p>
    <w:tbl>
      <w:tblPr>
        <w:tblStyle w:val="943"/>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3515"/>
        <w:gridCol w:w="1160"/>
        <w:gridCol w:w="3386"/>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rPr>
                <w:highlight w:val="none"/>
              </w:rPr>
            </w: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rPr>
                <w:highlight w:val="none"/>
              </w:rPr>
            </w: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rPr>
                <w:highlight w:val="none"/>
              </w:rPr>
            </w: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rPr>
                <w:highlight w:val="none"/>
              </w:rPr>
            </w:r>
            <w:r/>
          </w:p>
        </w:tc>
      </w:tr>
    </w:tbl>
    <w:p>
      <w:pPr>
        <w:jc w:val="center"/>
        <w:keepLines/>
        <w:keepNext/>
        <w:spacing w:before="156" w:after="260" w:line="416" w:lineRule="auto"/>
        <w:rPr>
          <w:rFonts w:ascii="黑体" w:hAnsi="黑体" w:eastAsia="黑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Cs w:val="21"/>
          <w:highlight w:val="none"/>
          <w:u w:val="single"/>
          <w14:textFill>
            <w14:solidFill>
              <w14:schemeClr w14:val="tx1"/>
            </w14:solidFill>
          </w14:textFill>
        </w:rPr>
        <w:br w:type="page" w:clear="all"/>
      </w:r>
      <w:bookmarkStart w:id="193" w:name="_Toc27624"/>
      <w:r>
        <w:rPr>
          <w:rFonts w:hint="eastAsia" w:ascii="黑体" w:hAnsi="黑体" w:eastAsia="黑体"/>
          <w:color w:val="000000" w:themeColor="text1"/>
          <w:sz w:val="28"/>
          <w:szCs w:val="28"/>
          <w:highlight w:val="none"/>
          <w14:textFill>
            <w14:solidFill>
              <w14:schemeClr w14:val="tx1"/>
            </w14:solidFill>
          </w14:textFill>
        </w:rPr>
        <w:t xml:space="preserve">第二节 政府采购合同通用条款</w:t>
      </w:r>
      <w:bookmarkEnd w:id="193"/>
      <w:r>
        <w:rPr>
          <w:highlight w:val="none"/>
        </w:rPr>
      </w: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 xml:space="preserve">定义</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rPr>
          <w:highlight w:val="none"/>
        </w:rPr>
      </w: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numPr>
          <w:ilvl w:val="0"/>
          <w:numId w:val="8"/>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rPr>
          <w:highlight w:val="none"/>
        </w:rPr>
      </w:r>
      <w:r/>
    </w:p>
    <w:p>
      <w:pPr>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 履行合同的时间、地点和方式</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 甲方的权利和义务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rPr>
          <w:highlight w:val="none"/>
        </w:rPr>
      </w:r>
      <w:r/>
    </w:p>
    <w:p>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 乙方的权利和义务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rPr>
          <w:highlight w:val="none"/>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rPr>
          <w:highlight w:val="none"/>
        </w:rPr>
      </w: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rPr>
          <w:highlight w:val="none"/>
        </w:rPr>
      </w:r>
      <w:r/>
    </w:p>
    <w:p>
      <w:pPr>
        <w:numPr>
          <w:ilvl w:val="0"/>
          <w:numId w:val="9"/>
        </w:num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合同履行</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rPr>
          <w:highlight w:val="none"/>
        </w:rPr>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 货物包装、运输、保险和交付要求</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rPr>
          <w:highlight w:val="none"/>
        </w:rPr>
      </w:r>
      <w:r/>
    </w:p>
    <w:p>
      <w:pPr>
        <w:jc w:val="left"/>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 质量标准和保证</w:t>
      </w:r>
      <w:r>
        <w:rPr>
          <w:highlight w:val="none"/>
        </w:rPr>
      </w:r>
      <w:r/>
    </w:p>
    <w:p>
      <w:pPr>
        <w:jc w:val="left"/>
        <w:spacing w:line="400" w:lineRule="exac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8.1 质量标准</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jc w:val="left"/>
        <w:spacing w:line="400" w:lineRule="exac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（2）采用中华人民共和国法定计量单位。</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 权利瑕疵担保</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 知识产权保护</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94"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94"/>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 保密义务</w:t>
      </w:r>
      <w:r>
        <w:rPr>
          <w:highlight w:val="none"/>
        </w:rPr>
      </w:r>
      <w:r/>
    </w:p>
    <w:p>
      <w:pPr>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rPr>
          <w:highlight w:val="none"/>
        </w:rPr>
      </w:r>
      <w:r/>
    </w:p>
    <w:p>
      <w:pPr>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rPr>
          <w:highlight w:val="none"/>
        </w:rPr>
      </w: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rPr>
          <w:highlight w:val="none"/>
        </w:rPr>
      </w:r>
      <w:r/>
    </w:p>
    <w:p>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 xml:space="preserve">售后</w:t>
      </w:r>
      <w:r>
        <w:rPr>
          <w:rFonts w:hint="eastAsia" w:ascii="宋体" w:hAnsi="宋体"/>
          <w:b/>
          <w:color w:val="000000" w:themeColor="text1"/>
          <w:sz w:val="24"/>
          <w:szCs w:val="24"/>
          <w:highlight w:val="none"/>
          <w14:textFill>
            <w14:solidFill>
              <w14:schemeClr w14:val="tx1"/>
            </w14:solidFill>
          </w14:textFill>
        </w:rPr>
        <w:t xml:space="preserve">服务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rPr>
          <w:highlight w:val="none"/>
        </w:rPr>
      </w: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约定，货物在有效使用年限届满后应予回收的，乙方负有自行或者委托第三人对货物予以回收的义务；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15. 违约责任</w:t>
      </w:r>
      <w:r>
        <w:rPr>
          <w:highlight w:val="none"/>
        </w:rPr>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rPr>
          <w:highlight w:val="none"/>
        </w:rPr>
      </w: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rPr>
          <w:highlight w:val="none"/>
        </w:rPr>
      </w:r>
      <w:r/>
    </w:p>
    <w:p>
      <w:pPr>
        <w:numPr>
          <w:ilvl w:val="0"/>
          <w:numId w:val="10"/>
        </w:num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合同变更、中止与终止</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16.1合同的变更</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rPr>
          <w:highlight w:val="none"/>
        </w:rPr>
      </w: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rPr>
          <w:highlight w:val="none"/>
        </w:rPr>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rPr>
          <w:highlight w:val="none"/>
        </w:rPr>
      </w:r>
      <w:r/>
    </w:p>
    <w:p>
      <w:pPr>
        <w:jc w:val="left"/>
        <w:spacing w:line="400" w:lineRule="exact"/>
        <w:widowControl/>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 xml:space="preserve">涉及国家利益、社会公共利益的情形</w:t>
      </w:r>
      <w:r>
        <w:rPr>
          <w:highlight w:val="none"/>
        </w:rPr>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17. 合同分包</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rPr>
          <w:highlight w:val="none"/>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18. 不可抗力</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19. 解决争议的方法</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选择仲裁的，应在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如甲乙双方有争议的事项不影响合同其他部分的履行，在争议解决期间，合同其他部分应当继续履行。</w:t>
      </w:r>
      <w:r>
        <w:rPr>
          <w:highlight w:val="none"/>
        </w:rPr>
      </w:r>
      <w:r/>
    </w:p>
    <w:p>
      <w:pPr>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 政府采购政策</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 xml:space="preserve">本合同应当按照规定执行政府采购政策。</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 xml:space="preserve">甲乙双方</w:t>
      </w:r>
      <w:r>
        <w:rPr>
          <w:rFonts w:hint="eastAsia" w:ascii="宋体" w:hAnsi="宋体" w:cs="宋体"/>
          <w:color w:val="000000" w:themeColor="text1"/>
          <w:szCs w:val="24"/>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rPr>
          <w:highlight w:val="none"/>
        </w:rPr>
      </w:r>
      <w:r/>
    </w:p>
    <w:p>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jc w:val="left"/>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 法律适用</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本合同的订立、生效、解释、履行及与本合同有关的争议解决，均适用法律、行政法规。</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rPr>
          <w:highlight w:val="none"/>
        </w:rPr>
      </w: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 通知</w:t>
      </w:r>
      <w:r>
        <w:rPr>
          <w:highlight w:val="none"/>
        </w:rPr>
      </w: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rPr>
          <w:highlight w:val="none"/>
        </w:rPr>
      </w: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rPr>
          <w:highlight w:val="none"/>
        </w:rPr>
      </w: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rPr>
          <w:highlight w:val="none"/>
        </w:rPr>
      </w:r>
      <w:r/>
    </w:p>
    <w:p>
      <w:pPr>
        <w:numPr>
          <w:ilvl w:val="0"/>
          <w:numId w:val="11"/>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合同未尽事项</w:t>
      </w:r>
      <w:r>
        <w:rPr>
          <w:highlight w:val="none"/>
        </w:rPr>
      </w: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rPr>
          <w:highlight w:val="none"/>
        </w:rPr>
      </w: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 合同附件与合同正文具有同等的法律效力。</w:t>
      </w:r>
      <w:bookmarkStart w:id="195" w:name="_Toc20313"/>
      <w:r>
        <w:rPr>
          <w:highlight w:val="none"/>
        </w:rPr>
      </w: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 xml:space="preserve">第三节 政府采购合同专用条款</w:t>
      </w:r>
      <w:bookmarkEnd w:id="195"/>
      <w:r>
        <w:rPr>
          <w:highlight w:val="none"/>
        </w:rPr>
      </w:r>
      <w:r/>
    </w:p>
    <w:tbl>
      <w:tblPr>
        <w:tblStyle w:val="943"/>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rPr>
                <w:highlight w:val="none"/>
              </w:rPr>
            </w: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rPr>
                <w:highlight w:val="none"/>
              </w:rPr>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rPr>
                <w:highlight w:val="none"/>
              </w:rPr>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rPr>
                <w:highlight w:val="none"/>
              </w:rPr>
            </w: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rPr>
                <w:highlight w:val="none"/>
              </w:rPr>
            </w:r>
            <w:r/>
          </w:p>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spacing w:line="400" w:lineRule="exact"/>
              <w:widowControl/>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rPr>
                <w:highlight w:val="none"/>
              </w:rPr>
            </w: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rPr>
                <w:highlight w:val="none"/>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rPr>
                <w:highlight w:val="none"/>
              </w:rPr>
            </w: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rPr>
                <w:highlight w:val="none"/>
              </w:rPr>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rPr>
                <w:highlight w:val="none"/>
              </w:rPr>
            </w:r>
            <w:r/>
          </w:p>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rPr>
                <w:highlight w:val="none"/>
              </w:rPr>
            </w: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rPr>
                <w:highlight w:val="none"/>
              </w:rPr>
            </w: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rPr>
                <w:highlight w:val="none"/>
              </w:rPr>
            </w: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r/>
          </w:p>
        </w:tc>
      </w:tr>
    </w:tbl>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r/>
    </w:p>
    <w:p>
      <w:pPr>
        <w:spacing w:line="360" w:lineRule="auto"/>
        <w:rPr>
          <w:rFonts w:ascii="等线" w:hAnsi="等线" w:eastAsia="等线" w:cs="仿宋"/>
          <w:color w:val="000000" w:themeColor="text1"/>
          <w:szCs w:val="21"/>
          <w:highlight w:val="none"/>
          <w14:textFill>
            <w14:solidFill>
              <w14:schemeClr w14:val="tx1"/>
            </w14:solidFill>
          </w14:textFill>
        </w:rPr>
      </w:pPr>
      <w:r>
        <w:rPr>
          <w:rFonts w:ascii="等线" w:hAnsi="等线" w:eastAsia="等线" w:cs="仿宋"/>
          <w:color w:val="000000" w:themeColor="text1"/>
          <w:szCs w:val="21"/>
          <w:highlight w:val="none"/>
          <w14:textFill>
            <w14:solidFill>
              <w14:schemeClr w14:val="tx1"/>
            </w14:solidFill>
          </w14:textFill>
        </w:rPr>
      </w:r>
      <w:r>
        <w:rPr>
          <w:highlight w:val="none"/>
        </w:rPr>
      </w:r>
      <w:r/>
    </w:p>
    <w:p>
      <w:pPr>
        <w:jc w:val="center"/>
        <w:spacing w:before="120" w:after="120" w:line="480" w:lineRule="exact"/>
        <w:rPr>
          <w:rFonts w:hint="eastAsia"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96" w:name="_Toc171068953"/>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85"/>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86"/>
      <w:r>
        <w:rPr>
          <w:highlight w:val="none"/>
        </w:rPr>
      </w:r>
      <w:bookmarkEnd w:id="187"/>
      <w:r>
        <w:rPr>
          <w:highlight w:val="none"/>
        </w:rPr>
      </w:r>
      <w:bookmarkEnd w:id="188"/>
      <w:r>
        <w:rPr>
          <w:highlight w:val="none"/>
        </w:rPr>
      </w:r>
      <w:bookmarkEnd w:id="196"/>
      <w:r>
        <w:rPr>
          <w:highlight w:val="none"/>
        </w:rPr>
      </w:r>
      <w:r/>
    </w:p>
    <w:p>
      <w:pPr>
        <w:pStyle w:val="965"/>
        <w:numPr>
          <w:ilvl w:val="0"/>
          <w:numId w:val="0"/>
        </w:numPr>
        <w:pageBreakBefore w:val="0"/>
        <w:spacing w:line="240" w:lineRule="auto"/>
        <w:rPr>
          <w:rFonts w:hint="eastAsia" w:ascii="Times New Roman" w:hAnsi="Times New Roman" w:eastAsia="宋体" w:cs="Times New Roman"/>
          <w:color w:val="000000" w:themeColor="text1"/>
          <w:highlight w:val="none"/>
          <w14:textFill>
            <w14:solidFill>
              <w14:schemeClr w14:val="tx1"/>
            </w14:solidFill>
          </w14:textFill>
        </w:rPr>
      </w:pPr>
      <w:r>
        <w:rPr>
          <w:highlight w:val="none"/>
        </w:rPr>
      </w:r>
      <w:bookmarkStart w:id="197" w:name="_Toc26554093"/>
      <w:r>
        <w:rPr>
          <w:highlight w:val="none"/>
        </w:rPr>
      </w:r>
      <w:bookmarkStart w:id="198" w:name="_Toc49090575"/>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一、采购标的清单</w:t>
      </w:r>
      <w:r>
        <w:rPr>
          <w:highlight w:val="none"/>
        </w:rPr>
      </w:r>
      <w:r/>
    </w:p>
    <w:tbl>
      <w:tblPr>
        <w:tblStyle w:val="943"/>
        <w:tblW w:w="9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09"/>
        <w:gridCol w:w="3102"/>
        <w:gridCol w:w="821"/>
        <w:gridCol w:w="2196"/>
        <w:gridCol w:w="821"/>
      </w:tblGrid>
      <w:tr>
        <w:trPr>
          <w:jc w:val="center"/>
          <w:tblHeader/>
        </w:trPr>
        <w:tc>
          <w:tcPr>
            <w:tcW w:w="8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序号</w:t>
            </w:r>
            <w:r>
              <w:rPr>
                <w:highlight w:val="none"/>
              </w:rPr>
            </w:r>
            <w:r/>
          </w:p>
        </w:tc>
        <w:tc>
          <w:tcPr>
            <w:tcW w:w="1409"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大类</w:t>
            </w:r>
            <w:r>
              <w:rPr>
                <w:highlight w:val="none"/>
              </w:rPr>
            </w:r>
            <w:r/>
          </w:p>
        </w:tc>
        <w:tc>
          <w:tcPr>
            <w:tcW w:w="310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设备名称</w:t>
            </w:r>
            <w:r>
              <w:rPr>
                <w:highlight w:val="none"/>
              </w:rPr>
            </w:r>
            <w:r/>
          </w:p>
        </w:tc>
        <w:tc>
          <w:tcPr>
            <w:tcW w:w="8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数量</w:t>
            </w:r>
            <w:r>
              <w:rPr>
                <w:highlight w:val="none"/>
              </w:rPr>
            </w:r>
            <w:r/>
          </w:p>
        </w:tc>
        <w:tc>
          <w:tcPr>
            <w:tcW w:w="219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所属行业</w:t>
            </w:r>
            <w:r>
              <w:rPr>
                <w:highlight w:val="none"/>
              </w:rPr>
            </w:r>
            <w:r/>
          </w:p>
        </w:tc>
        <w:tc>
          <w:tcPr>
            <w:tcW w:w="82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i w:val="0"/>
                <w:iCs w:val="0"/>
                <w:color w:val="000000" w:themeColor="text1"/>
                <w:sz w:val="22"/>
                <w:szCs w:val="22"/>
                <w:highlight w:val="none"/>
                <w:u w:val="none"/>
                <w:lang w:val="en-US" w:eastAsia="zh-CN" w:bidi="ar"/>
                <w14:textFill>
                  <w14:solidFill>
                    <w14:schemeClr w14:val="tx1"/>
                  </w14:solidFill>
                </w14:textFill>
              </w:rPr>
              <w:t xml:space="preserve">单位</w:t>
            </w:r>
            <w:r>
              <w:rPr>
                <w:highlight w:val="none"/>
              </w:rPr>
            </w:r>
            <w:r/>
          </w:p>
        </w:tc>
      </w:tr>
      <w:tr>
        <w:trPr>
          <w:jc w:val="center"/>
        </w:trPr>
        <w:tc>
          <w:tcPr>
            <w:tcW w:w="82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1409"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AI设备</w:t>
            </w:r>
            <w:r>
              <w:rPr>
                <w:highlight w:val="none"/>
              </w:rPr>
            </w:r>
            <w:r/>
          </w:p>
        </w:tc>
        <w:tc>
          <w:tcPr>
            <w:shd w:val="clear" w:color="auto" w:fill="ffffff"/>
            <w:tcW w:w="310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桌面级六轴协作机器人</w:t>
            </w:r>
            <w:r>
              <w:rPr>
                <w:highlight w:val="none"/>
              </w:rPr>
            </w:r>
            <w:r/>
          </w:p>
        </w:tc>
        <w:tc>
          <w:tcPr>
            <w:tcW w:w="82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r/>
          </w:p>
        </w:tc>
        <w:tc>
          <w:tcPr>
            <w:tcW w:w="2196"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六轴协作机器人配件包</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AI视觉码垛套装</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多模态交互开发套件模块</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智能四足机器人竞赛套装</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A类赛场地套件</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智能双轮足式机器人</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机器人竞赛套装</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AI机器人竞赛场地模型套装-中学组</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智能四足机器狗</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群控模块</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教师用高速多色3D打印机</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学生用高速多色3D打印机</w:t>
            </w:r>
            <w:r>
              <w:rPr>
                <w:highlight w:val="none"/>
              </w:rPr>
            </w:r>
            <w:r/>
          </w:p>
        </w:tc>
        <w:tc>
          <w:tcPr>
            <w:shd w:val="clear" w:color="auto" w:fill="ffffff"/>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rPr>
                <w:highlight w:val="none"/>
              </w:rPr>
            </w:r>
            <w:r/>
          </w:p>
        </w:tc>
        <w:tc>
          <w:tcPr>
            <w:shd w:val="clear" w:color="auto" w:fill="ffffff"/>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shd w:val="clear" w:color="auto" w:fill="ffffff"/>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专用3D打印耗材</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卷</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智能系统控制柜</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多功能集中控制系统</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顶部多模块电源供应装置</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模块储藏装置</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伸缩线束</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高压电源模块</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智能升降系统</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综合布线</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安装支架</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间</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安装辅件</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间</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集成系统调试</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软件和信息技术服务</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项</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6</w:t>
            </w:r>
            <w:r>
              <w:rPr>
                <w:highlight w:val="none"/>
              </w:rPr>
            </w:r>
            <w:r/>
          </w:p>
        </w:tc>
        <w:tc>
          <w:tcPr>
            <w:tcW w:w="14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行为分析</w:t>
            </w:r>
            <w:r>
              <w:rPr>
                <w:highlight w:val="none"/>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16路行为分析终端</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27</w:t>
            </w:r>
            <w:r>
              <w:rPr>
                <w:highlight w:val="none"/>
              </w:rPr>
            </w:r>
            <w:r/>
          </w:p>
        </w:tc>
        <w:tc>
          <w:tcPr>
            <w:tcW w:w="14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物联网温室种植</w:t>
            </w:r>
            <w:r>
              <w:rPr>
                <w:highlight w:val="none"/>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物联网温室种植系统</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28</w:t>
            </w:r>
            <w:r>
              <w:rPr>
                <w:highlight w:val="none"/>
              </w:rPr>
            </w:r>
            <w:r/>
          </w:p>
        </w:tc>
        <w:tc>
          <w:tcPr>
            <w:tcW w:w="140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AI互动墙</w:t>
            </w:r>
            <w:r>
              <w:rPr>
                <w:highlight w:val="none"/>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AI互动机械手掌</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29</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AI大模型-中国航天</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30</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AI大模型-新能源</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ffffff"/>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AI大模型-克鲁克斯辐射计</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AI大模型-矿物</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3</w:t>
            </w:r>
            <w:r>
              <w:rPr>
                <w:highlight w:val="none"/>
              </w:rPr>
            </w:r>
            <w:r/>
          </w:p>
        </w:tc>
        <w:tc>
          <w:tcPr>
            <w:tcW w:w="1409"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AI大模型-闪电辉光球</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21" w:type="dxa"/>
            <w:vAlign w:val="center"/>
            <w:textDirection w:val="lrTb"/>
            <w:noWrap w:val="false"/>
          </w:tcPr>
          <w:p>
            <w:pPr>
              <w:ind w:left="0" w:right="0" w:firstLine="0"/>
              <w:jc w:val="center"/>
              <w:keepLines w:val="0"/>
              <w:keepNext w:val="0"/>
              <w:widowControl/>
              <w:rPr>
                <w:rFonts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4</w:t>
            </w:r>
            <w:r>
              <w:rPr>
                <w:highlight w:val="none"/>
              </w:rPr>
            </w:r>
            <w:r/>
          </w:p>
        </w:tc>
        <w:tc>
          <w:tcPr>
            <w:tcW w:w="14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智能互动机器人</w:t>
            </w:r>
            <w:r>
              <w:rPr>
                <w:highlight w:val="none"/>
              </w:rPr>
            </w:r>
            <w:r/>
          </w:p>
        </w:tc>
        <w:tc>
          <w:tcPr>
            <w:tcW w:w="310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智能互动机器人</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highlight w:val="none"/>
              </w:rPr>
            </w:r>
            <w:r/>
          </w:p>
        </w:tc>
        <w:tc>
          <w:tcPr>
            <w:tcW w:w="219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工业</w:t>
            </w:r>
            <w:r>
              <w:rPr>
                <w:highlight w:val="none"/>
              </w:rPr>
            </w:r>
            <w:r/>
          </w:p>
        </w:tc>
        <w:tc>
          <w:tcPr>
            <w:tcW w:w="82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rPr>
                <w:highlight w:val="none"/>
              </w:rPr>
            </w:r>
            <w:r/>
          </w:p>
        </w:tc>
      </w:tr>
    </w:tbl>
    <w:p>
      <w:pPr>
        <w:pStyle w:val="965"/>
        <w:numPr>
          <w:ilvl w:val="0"/>
          <w:numId w:val="0"/>
        </w:numPr>
        <w:pageBreakBefore w:val="0"/>
        <w:spacing w:line="24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本项目核心产品：桌面级六轴协作机器人</w:t>
      </w:r>
      <w:r>
        <w:rPr>
          <w:rFonts w:hint="eastAsia"/>
          <w:color w:val="000000" w:themeColor="text1"/>
          <w:highlight w:val="none"/>
          <w:lang w:val="en-US" w:eastAsia="zh-CN"/>
          <w14:textFill>
            <w14:solidFill>
              <w14:schemeClr w14:val="tx1"/>
            </w14:solidFill>
          </w14:textFill>
        </w:rPr>
        <w:t xml:space="preserve">。</w:t>
      </w:r>
      <w:r>
        <w:rPr>
          <w:highlight w:val="none"/>
        </w:rPr>
      </w:r>
      <w:r/>
    </w:p>
    <w:p>
      <w:pPr>
        <w:pStyle w:val="965"/>
        <w:numPr>
          <w:ilvl w:val="0"/>
          <w:numId w:val="0"/>
        </w:numPr>
        <w:pageBreakBefore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65"/>
        <w:numPr>
          <w:ilvl w:val="0"/>
          <w:numId w:val="0"/>
        </w:numPr>
        <w:pageBreakBefore w:val="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二、技术要求</w:t>
      </w:r>
      <w:r>
        <w:rPr>
          <w:highlight w:val="none"/>
        </w:rPr>
      </w:r>
      <w:r/>
    </w:p>
    <w:p>
      <w:pPr>
        <w:jc w:val="left"/>
        <w:widowControl/>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包括性能、材料、结构、外观、安全，或者服务内容和标准等：</w:t>
      </w:r>
      <w:r>
        <w:rPr>
          <w:highlight w:val="none"/>
        </w:rPr>
      </w:r>
      <w:r/>
    </w:p>
    <w:p>
      <w:pPr>
        <w:numPr>
          <w:ilvl w:val="0"/>
          <w:numId w:val="12"/>
        </w:num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采购标的需实现的功能或者目标, 以及为落实政府采购政策需满足的要求</w:t>
      </w:r>
      <w:r>
        <w:rPr>
          <w:highlight w:val="none"/>
        </w:rPr>
      </w: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根据</w:t>
      </w:r>
      <w:r>
        <w:rPr>
          <w:rFonts w:hint="eastAsia" w:ascii="仿宋" w:hAnsi="仿宋" w:eastAsia="仿宋" w:cs="仿宋"/>
          <w:bCs/>
          <w:color w:val="000000" w:themeColor="text1"/>
          <w:sz w:val="28"/>
          <w:szCs w:val="28"/>
          <w:highlight w:val="none"/>
          <w14:textFill>
            <w14:solidFill>
              <w14:schemeClr w14:val="tx1"/>
            </w14:solidFill>
          </w14:textFill>
        </w:rPr>
        <w:t xml:space="preserve">国家《“十四五”智能制造发展规划》，《职业教育产教融合赋能提升行动实施方案（2023-2025年）》、《南通市“十四五”教育发展规划》、《关于推动南通现代职业教育高质量发展若干激励举措》、《南通市校企合作协同育人项目实施方案》、《南通市新一代信息技术产业发展行动计划(2018-2025年)》等政策要求，面对教育数字化转型发展的浪潮和区域产业发展的变革，学校亟需更新办学理念、革新治理体系、创新培养模式，提升专业建设，尤其专业群的产业对接度、协同度还有欠缺，从传统的机电一体化，向数字化、智能化、网络化转型升级。</w:t>
      </w:r>
      <w:r>
        <w:rPr>
          <w:highlight w:val="none"/>
        </w:rPr>
      </w: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在“人工智能+教育”国家战略深入推进的背景下，江苏省南通中学积极响应《新一代人工智能发展规划》和《教育信息化2.0行动计划》，致力于打造区域性人工智能教育示范校。当前，学校传统实验室已无法满足AI课程实践、机器人开发、3D创意设计等前沿教学需求。</w:t>
      </w:r>
      <w:r>
        <w:rPr>
          <w:highlight w:val="none"/>
        </w:rPr>
      </w: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为培养学生计算思维、跨学科融合能力及科技创新素养，亟需建设具备“教学研创赛”五位一体功能的AI创新教室，支撑人工智能通识教育、竞赛集训与科研探索，为江苏省青少年科技创新大赛、教育部白名单赛事等提供专业化平台。</w:t>
      </w:r>
      <w:r>
        <w:rPr>
          <w:highlight w:val="none"/>
        </w:rPr>
      </w: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本项目新建一套现代化AI教室，旨在打造一套融合平台、课程、硬件三位一体的人工智能系统，让学生熟悉从低代码到高代码均能实现人工智能模型开发全流程，正式感受人工智能三要素：数据、算法、算力。</w:t>
      </w:r>
      <w:r>
        <w:rPr>
          <w:highlight w:val="none"/>
        </w:rPr>
      </w:r>
      <w:r/>
    </w:p>
    <w:p>
      <w:pPr>
        <w:jc w:val="left"/>
        <w:spacing w:line="400" w:lineRule="exact"/>
        <w:widowControl/>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（二）采购标的需执行的国家相关标准、行业标准、地方标准或者其他标准、规范</w:t>
      </w:r>
      <w:r>
        <w:rPr>
          <w:highlight w:val="none"/>
        </w:rPr>
      </w:r>
      <w:r/>
    </w:p>
    <w:p>
      <w:pPr>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rPr>
          <w:highlight w:val="none"/>
        </w:rPr>
      </w:r>
      <w:r/>
    </w:p>
    <w:p>
      <w:pPr>
        <w:ind w:firstLine="560"/>
        <w:jc w:val="left"/>
        <w:widowControl/>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投标人提供的软件产品自主可控，符合国家有关的软硬件信创国产化要求、国家标准和行业标准的要求，确保知识产权无风险。产品需要与主流的国产操作系统、数据库、中间件等软硬件环境有良好的兼容性，并支持学校现有虚拟化平台备份需求，同时满足学校未来建设的主流信创新平台及信息系统的兼容性备份需求，终身免费授权对接学校各系统平台。</w:t>
      </w:r>
      <w:r>
        <w:rPr>
          <w:highlight w:val="none"/>
        </w:rPr>
      </w:r>
      <w:r/>
    </w:p>
    <w:p>
      <w:pPr>
        <w:jc w:val="left"/>
        <w:spacing w:line="400" w:lineRule="exact"/>
        <w:widowControl/>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（三）采购标的需满足的质量、安全、技术规格、物理特性等要求设备技术参数要求</w:t>
      </w:r>
      <w:r>
        <w:rPr>
          <w:highlight w:val="none"/>
        </w:rPr>
      </w:r>
      <w:r/>
    </w:p>
    <w:tbl>
      <w:tblPr>
        <w:tblStyle w:val="943"/>
        <w:tblW w:w="9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472"/>
        <w:gridCol w:w="5169"/>
        <w:gridCol w:w="843"/>
        <w:gridCol w:w="843"/>
      </w:tblGrid>
      <w:tr>
        <w:trPr>
          <w:jc w:val="center"/>
          <w:tblHeader/>
        </w:trPr>
        <w:tc>
          <w:tcPr>
            <w:tcW w:w="843"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序号</w:t>
            </w:r>
            <w:r>
              <w:rPr>
                <w:highlight w:val="none"/>
              </w:rPr>
            </w:r>
            <w:r/>
          </w:p>
        </w:tc>
        <w:tc>
          <w:tcPr>
            <w:tcW w:w="1472"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产品名称</w:t>
            </w:r>
            <w:r>
              <w:rPr>
                <w:highlight w:val="none"/>
              </w:rPr>
            </w:r>
            <w:r/>
          </w:p>
        </w:tc>
        <w:tc>
          <w:tcPr>
            <w:tcW w:w="5169"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技术参数与功能要求</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数量</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单位</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桌面级六轴协作机器人</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不低于10Tops的算力，支持Transformer、RWKV、Occupancy、Stereo Perception等多种复杂模型和最新算法，加速智能化应用快速落地，面向智能计算与机器人应用，接口丰富，极致易用。</w:t>
            </w:r>
            <w:r>
              <w:rPr>
                <w:highlight w:val="none"/>
              </w:rPr>
            </w:r>
            <w:r/>
          </w:p>
          <w:p>
            <w:pPr>
              <w:numPr>
                <w:ilvl w:val="0"/>
                <w:numId w:val="13"/>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自由度≥6 轴</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有效负载≥250g</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工作半径≤280mm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重复定位精度：±0.5mm</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重量≤1030g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电源输入：12V，5A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工作温度：-5-45℃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通信：USB/RJ45</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额定功率：≤60W</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编程语言：Python/ROS1</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安装方式：台面安装</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USB接口：≥ 3个</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主控：RDK X5</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辅控：ESP32</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网口：≥ 1个</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蓝牙：2.4G/5G</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HDMI接口：≥ 1个</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应用软件: blockly/studio</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支持系统：Windows/Linux/Mac</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关节范围：J1-165°~ +165° J2-165°~ +165°J3-165°~ +165° J4-165°~ +165° J5-165° ~ +165°J6-175°~ +175°</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r/>
          </w:p>
          <w:p>
            <w:pPr>
              <w:numPr>
                <w:ilvl w:val="0"/>
                <w:numId w:val="13"/>
              </w:num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电机编码器类型：12BIT磁编码器</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  </w:t>
            </w:r>
            <w:r>
              <w:rPr>
                <w:highlight w:val="none"/>
              </w:rPr>
            </w: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▲22. 具有完整的手势识别案例，需提供包含硬件安装、软件运行、案例呈现、效果展示等内容的技术文档，加盖投标</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单位</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公章。</w:t>
            </w:r>
            <w:r>
              <w:rPr>
                <w:highlight w:val="none"/>
              </w:rPr>
            </w: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▲23.提供基于Python、ROS、图形化编程、串口通信协议的开发使用文档，加盖投标</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单位</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公章。</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六轴协作机器人配件包</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自适应夹爪</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1.工艺：ABS注塑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2.夹持范围：20-45mm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3.夹持力：≥150g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4.重复精度：≤1mm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5.驱动方式：电动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6.传动方式：齿轮+连杆</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7.尺寸：112*94*50mm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8.重量：≤100g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9.固定方式：乐高连接件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10.使用环境要求：常温常压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11.控制接口：串口控制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垂直吸泵</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1.材料：ABS注塑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2.吸泵盒尺寸：72*52*37mm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3.吸泵末端：63*24.5*26.7mm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4.吸盘数量：1</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5.吸盘尺寸：直径≥20mm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6.负载重量：≥150g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7.固定方式：乐高连接件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8.控制接口：IO控制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摄像头法兰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1.工艺：ABS注塑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2.尺寸：83*64*16mm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3.重量：≤50g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4.USB协议：USB2.0 HS/FS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5.镜头焦距：标配1.7mm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6.视场角度：≥60°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7.支持系统：Win7/8/10、Linux、Mac</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8.固定方式：乐高连接件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9.使用环境要求：常温常压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10.控制接口：串口控制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G型底座</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1.重量：≥ 70g</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2.工艺：光敏树脂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3.尺寸：174.8*166*31mm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4.固定方式：乐高连接件、螺丝固定</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3</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AI视觉码垛套装</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AI智能码垛套装，结合人工智能（AI）视觉识别和智能控制技术，适用于 物流分拣、仓储码垛、生产线自动化等场景。1、识别贴纸*20，尺寸:38*38mm2、视觉码垛套装画布尺寸550*350mm3、视觉码垛套装画布材质:滑面刀刮布4、含垂直吸泵、摄像头法兰、G型底座5、彩色方块4色4*4cm</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4</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多模态交互开发套件模块</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模型选择：提供官方API接口，同时支持主流第三方大模型，涵盖文本、图像、音视频等模态，并提供行业定制化模型；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开发工具：提供的Prompt自动优化、知识库管理、函数调用、流程编排、模型定制等能力；</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数据保护：严格保护数据隐私，在构建应用或训练大模型过程中传输的数据都会经过加密，确保数据安全。</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5</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智能四足机器人竞赛套装</w:t>
            </w:r>
            <w:r>
              <w:rPr>
                <w:highlight w:val="none"/>
              </w:rPr>
            </w:r>
            <w:r/>
          </w:p>
        </w:tc>
        <w:tc>
          <w:tcPr>
            <w:tcW w:w="5169" w:type="dxa"/>
            <w:vAlign w:val="center"/>
            <w:textDirection w:val="lrTb"/>
            <w:noWrap w:val="false"/>
          </w:tcPr>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一、功能描述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1、可实现AI边缘计算图形化编程，手势识别，人脸检测等常用AI程序。</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2、可实现物体抓取，全向移动，六维姿态控制，多种运动步态及运动叠加，内置陀螺仪，可保持身体自平衡。</w:t>
            </w:r>
            <w:r>
              <w:rPr>
                <w:highlight w:val="none"/>
              </w:rPr>
            </w: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▲具有自主的运动控制算法软件，须供相关的</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计算机软件著作权</w:t>
            </w:r>
            <w:r>
              <w:rPr>
                <w:rFonts w:hint="eastAsia" w:ascii="宋体" w:hAnsi="宋体" w:eastAsia="宋体" w:cs="宋体"/>
                <w:color w:val="000000" w:themeColor="text1"/>
                <w:sz w:val="20"/>
                <w:szCs w:val="20"/>
                <w:highlight w:val="none"/>
                <w:lang w:bidi="ar"/>
                <w14:textFill>
                  <w14:solidFill>
                    <w14:schemeClr w14:val="tx1"/>
                  </w14:solidFill>
                </w14:textFill>
              </w:rPr>
              <w:t xml:space="preserve">证书</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复印件；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3、▲产品配套编程云平台，可以通过无线wifi对机器狗进行AI编程。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二、配置要求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1、机器狗包含不少于13个自由度；AI模组；机器狗驱动和钣金件；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2、机器狗零件材质为铝合金材质，阳极氧化上色，安全无毒。</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4、定制串口总线伺服舵机，可实现精准动作的控制及表达。</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5、机器狗结构开源并配套开源SDK。</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三、技术参数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1、舵机参数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（1）输出扭矩：4.5KG•CM；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（2）转速（S/60°）：0.1 S/60°；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（3）精度：0.01</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（4）工作电压范围：4.8V～7.4V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2、编程模组参数：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（1）按键：不少于2个可编程按键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（2）外接：iic和usb等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3、AI摄像头参数：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64位RISC-V神经网络处理器；板载WiFi芯片，可以直接通过Arduino进行编程开发，实现云端图像识别，无线图传，AIoT物联网等应用。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4、电源系统：</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（1）充电器输入电压：100-240V AC 50/60Hz；</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（2）充电器输出电压：8.4V；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（3）充电器输出电流：1A，具有过流保护特性，防止过充爆炸。</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5、整机系统：</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（1）默认姿态尺寸：不低于28*15*18CM；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（2）结构：1.5mm阳极氧化铝合金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6、</w:t>
            </w:r>
            <w:bookmarkStart w:id="199" w:name="OLE_LINK8"/>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bookmarkEnd w:id="199"/>
            <w:r>
              <w:rPr>
                <w:rFonts w:hint="eastAsia" w:ascii="宋体" w:hAnsi="宋体" w:eastAsia="宋体" w:cs="宋体"/>
                <w:color w:val="000000" w:themeColor="text1"/>
                <w:sz w:val="20"/>
                <w:szCs w:val="20"/>
                <w:highlight w:val="none"/>
                <w:lang w:bidi="ar"/>
                <w14:textFill>
                  <w14:solidFill>
                    <w14:schemeClr w14:val="tx1"/>
                  </w14:solidFill>
                </w14:textFill>
              </w:rPr>
              <w:t xml:space="preserve">配套课程：提供包含基础运动、位姿运动、动态图形、年龄性别、手势识别、人脸追踪、狗狗舞蹈等不少于30课时的课程</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提供课程目录并加盖投标单位公章</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6</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A类赛场地套件</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信息素养提升实践活动A类赛场地地图和模型道具</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7</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智能双轮足式机器人</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整机参数：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材质：机身：航空铝、ABS和碳纤维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屏幕：不小于2.0 英寸 IPS 320 X 240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摄像头：不低于500万像素 OV5647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麦克风：双 MEMS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扬声器：8Ω 2W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SD卡：32G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电池：18500 2S 1400mAh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续航时间：不低于1小时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舵机参数：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类型：串行总线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材质：外壳，CNC铝合金，齿轮，7075铝镀钛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额定扭矩：4.5KG•CM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速度（S/60°）：0.08 S/60°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工作电压范围：4.8V～7.4V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工作温度：-10℃～+50℃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无刷电机：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电压：8.4V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额定电流：940mA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额定扭矩：0.13N.m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空载转速：400RPM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KV值：75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尺寸：直径 48mm，高度 20mm</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2</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8</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机器人竞赛套装</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具备高复杂度巡线地图导航、障碍物检测、视觉识别、遥控控制等功能。AI机器人竞赛套装搭载了ESP32主板、全能扩展板、AI视觉识别模块、全彩屏等先进组件，是一款集便捷化、轻量化、智能化、精巧化于一体的AI机器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2.1.主板：ESP32，支持Wi-Fi和蓝牙通信。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2.2.扩展板：全能扩展板，支持多种传感器和模块。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2.3.视觉识别模块：AI视觉识别模块，支持图像处理和识别。</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2.4.显示屏：2.4寸全彩屏，分辨率240x320。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2.5.传感器：超声波传感器，四路寻迹模块。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3、人工智能开发板技术参数：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CPU：32bit微处理器，最大工作频率240MHz</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存储：8MBOctalPSRAM、16MBQuadSPIflash</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外设接口：包括SPI、UART、I2C、PWM、GPIO、ADC</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I2C接口：最高支持400Kbit/s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SPI接口：最高支持80MHz</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UART：最高支持921600波特率</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板载功能：1,54寸IPS屏幕（可显示图片，240*240分辨率）、RGBLED、光线传感器、6轴IMU、按键、麦克风、喇叭、温湿度传感器、磁敏传感器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4、AI视觉识别模块技术参数：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4.1、多形态变化：支持（摄像头与屏幕同向、摄像头与屏幕背向、远距离分向使用）；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4.2、处理器：400MHz64位双核处理器KendryteK210；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4.3、运存RAM：8MByte；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4.4、固存Flash：32MBytes；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4.5、平台支持：M1主控板、2.0人工智能开发板；</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4.6、摄像头：像素500万；</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4.7、物体训练按键：采用单颗微动开关，短按进行物体训练，长按删除所有模型；亦可支持指令方式进行物体训练和删除的操作，该按键同时作为程序下载模式的BOOT按键；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▲配套课程：课程资源-教学版: 需提供包含机器人障碍检测、标签及二维码识别、AI 颜色识别等不少于6课时课程；提供相关证明材料，加盖投标</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单位</w:t>
            </w:r>
            <w:r>
              <w:rPr>
                <w:rFonts w:hint="eastAsia" w:ascii="宋体" w:hAnsi="宋体" w:eastAsia="宋体" w:cs="宋体"/>
                <w:color w:val="000000" w:themeColor="text1"/>
                <w:sz w:val="20"/>
                <w:szCs w:val="20"/>
                <w:highlight w:val="none"/>
                <w:lang w:bidi="ar"/>
                <w14:textFill>
                  <w14:solidFill>
                    <w14:schemeClr w14:val="tx1"/>
                  </w14:solidFill>
                </w14:textFill>
              </w:rPr>
              <w:t xml:space="preserve">公章。</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课程资源包-集训版：6次课，12课时。</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10</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9</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AI机器人竞赛场地模型套装-中学组</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1、可用于开展海洋矿物资源探测、海洋生物识别、救助搁浅鲸鱼、修复珊瑚礁、海洋垃圾分类、救助海龟、海洋水质监测、海洋垃圾清洁等竞赛任务。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该套装包含：</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2、场地地图：彩色印刷，尺寸不小于2.26m*1.76m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3、模拟物块：不少于4个正方体木块，单个尺寸不小于5*5*5cm；不少于2个正方体木块，单个尺寸不小于3*3*3cm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4、模拟装置：地图配套卡片、海洋生物模型、木制切割可拼装场地附属物等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5、其他：场地固定材料、加工工具等</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10</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智能四足机器狗</w:t>
            </w:r>
            <w:r>
              <w:rPr>
                <w:highlight w:val="none"/>
              </w:rPr>
            </w:r>
            <w:r/>
          </w:p>
        </w:tc>
        <w:tc>
          <w:tcPr>
            <w:tcW w:w="5169" w:type="dxa"/>
            <w:vAlign w:val="center"/>
            <w:textDirection w:val="lrTb"/>
            <w:noWrap w:val="false"/>
          </w:tcPr>
          <w:p>
            <w:pPr>
              <w:numPr>
                <w:ilvl w:val="0"/>
                <w:numId w:val="14"/>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技术参数：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1.1.站立尺寸：不少于67cm x 35cm x 56cm，(长 x 宽 x 高)。</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2"/>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t xml:space="preserve">1.2.自由度：≥13；须提供产品彩页等证明材料。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1.3.基础算力：8 核高性能 CPU，快速处理各类数据指令。</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1.4.最大速度：≥3.0m/s，快速移动，高效执行任务。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1.5.最大载荷：≥10kg，可携带一定物资辅助作业。</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1.6.最大攀爬落差高度：≥15cm，轻松跨越小型障碍。</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1.7.最大爬坡角度：≥40°，爬坡能力强，拓展作业范围。</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1.8.电池容量：≥8200mAh，保障一定时长续航。</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1.9.续航： 1.5 - 3.0h，依任务强度灵活调整。</w:t>
            </w:r>
            <w:r>
              <w:rPr>
                <w:highlight w:val="none"/>
              </w:rPr>
            </w:r>
            <w:r/>
          </w:p>
          <w:p>
            <w:pPr>
              <w:numPr>
                <w:ilvl w:val="0"/>
                <w:numId w:val="0"/>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1.10产品采用一体式高度集成设计，开箱后仅需连接电源和显示屏即可使用。机械臂内置集成操作系统，无需额外连接电脑，即可通过其自身系统完成各关节的单独控制及坐标移动任务。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2、传感器：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配备不少MIC阵列*1、双目相机*1、超广角相机*2、深度相机*1、超声波传感器*1、触摸传感器*1、激光雷达*1、交互显示屏*1，全方位感知周边环境，为智能决策提供精准数据。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3、功能参数：</w:t>
            </w:r>
            <w:r>
              <w:rPr>
                <w:highlight w:val="none"/>
              </w:rPr>
            </w:r>
            <w:r/>
          </w:p>
          <w:p>
            <w:pPr>
              <w:numPr>
                <w:ilvl w:val="0"/>
                <w:numId w:val="0"/>
              </w:num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.1、支持姿态展示、慢跑、前后跳、跳跃、快跑等，不少于5种步态</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.2、支持握左手/握右手/跳舞/转圈/坐下/扭屁股/甩身/伸懒腰/跺脚/开合跳/太空步/摇头/旋转左跳70度/旋转右跳70度/前跳0.5米/俯卧撑/加油/击掌/挠痒/打拳/跳舞/后空翻等不少于20种特技</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.3、支持头部转动及触摸交互功能；触摸交互后可实现语音及肢体动作反馈。</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.4、头身联动功能：身体站立不动时，摄像头可以实现左右120°旋转，进行采集视觉数据。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.5、AI 语音交互：支持离线式语音交互及指令、语音对讲、音乐播放和大语言模型对话</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.6、图形化编程：包含：执行、运动、控制、条件等相关指令</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0"/>
                <w:szCs w:val="20"/>
                <w:highlight w:val="none"/>
                <w:lang w:bidi="ar"/>
                <w14:textFill>
                  <w14:solidFill>
                    <w14:schemeClr w14:val="tx1"/>
                  </w14:solidFill>
                </w14:textFill>
              </w:rPr>
              <w:t xml:space="preserve">.7、其他功能：智能跟随、智能避障、情感引擎、动作模仿、人体识别、巡游模式、拍照录像、实时图传、支持二次开发等。</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2</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11</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群控模块</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1、功能:支持多台机器狗的实时同步运动，实现舞蹈编排、路径规划、队列变换等集群行为。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2、硬件参数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处理器：采用ARM Cortex-A系列芯片，主频1.5GHz以上，支持多线程并行计算。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有线接口：支持CAN总线、RS485，可连接外部传感器或扩展设备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定位模块：支持厘米级定位，适用于室内外复杂环境。</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12</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教师用高速多色3D打印机</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1、3D打印机参数：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1.1.成型技术：熔融沉积成型（FDM）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1.2.打印尺寸：单喷嘴：≥325*320*325 mm³、双喷嘴：≥300*320*325 mm³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1.3.挤出机类型：双挤出轮近程挤出机</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1.4.工具头最大移动速度：≤600 mm/s</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1.5.喷嘴温度：≤350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1.6.热床温度：≤120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1.7.主动腔温控制: 支持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1.8.最高可控腔温:：≤65℃</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1.9.调平方式：全自动调平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1.10.打印方式：U盘/无线网络</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1.11.显示屏：≥5英寸，分辨率≥1280*720，触摸屏</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1.12.空气净化：复合滤芯能够有效过滤打印过程中产生的颗粒物及气味。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1.13.支持耗材：PLA，PETG，TPU，PVA，BVOH，ABS，ASA，PC，PA，PET，PPA-CF，PPA-GF，PPS-CF，PPS-GF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1.14.切片支持格式：3mf、stl、stp、step、amf、obj格式</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1.15.健康管理系统：负责收集和监控整个系统状态，包括：硬件连接、工作状态机械状态等 </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1.16.自动供料系统：支持多色打印，内置湿度传感器和密封外壳；具有RFID自动识别自动续料功能，支持第三方耗材手动设置自动续料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2、主题课程资源包：</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2.1、▲课程资源：包含汽车e族、机械进化、火星移民等不少于4个主题PBL课程资源；提供课程目录加盖</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投标单位</w:t>
            </w:r>
            <w:r>
              <w:rPr>
                <w:rFonts w:hint="eastAsia" w:ascii="宋体" w:hAnsi="宋体" w:eastAsia="宋体" w:cs="宋体"/>
                <w:color w:val="000000" w:themeColor="text1"/>
                <w:sz w:val="20"/>
                <w:szCs w:val="20"/>
                <w:highlight w:val="none"/>
                <w:lang w:bidi="ar"/>
                <w14:textFill>
                  <w14:solidFill>
                    <w14:schemeClr w14:val="tx1"/>
                  </w14:solidFill>
                </w14:textFill>
              </w:rPr>
              <w:t xml:space="preserve">公章。</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2.2、核心机体及拓展模块</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1）、高扩展性核心机体：含8个拓展电子模块接口、28个结构拓展连接孔、3个LED指示灯、2个马达、1个巡线传感器、2个RGB灯；</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2）、外置电子模块：含4个舵机模块、1个超声波传感器、2个蜂鸣器；</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3）、高配拓展连接件包：含超大包装圆柱球头栓、十字栓、长圆柱栓、十字圆柱栓、十字球头栓、圆柱栓、履带、轮胎、车轮等；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4）、数据传输方式：USB、蓝牙；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5）、遥控功能：支持蓝牙遥控功能；</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13</w:t>
            </w:r>
            <w:r>
              <w:rPr>
                <w:highlight w:val="none"/>
              </w:rPr>
            </w:r>
            <w:r/>
          </w:p>
        </w:tc>
        <w:tc>
          <w:tcPr>
            <w:shd w:val="clear" w:color="auto" w:fill="ffffff"/>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学生用高速多色3D打印机</w:t>
            </w:r>
            <w:r>
              <w:rPr>
                <w:highlight w:val="none"/>
              </w:rPr>
            </w:r>
            <w:r/>
          </w:p>
        </w:tc>
        <w:tc>
          <w:tcPr>
            <w:shd w:val="clear" w:color="auto" w:fill="ffffff"/>
            <w:tcW w:w="5169" w:type="dxa"/>
            <w:vAlign w:val="center"/>
            <w:textDirection w:val="lrTb"/>
            <w:noWrap w:val="false"/>
          </w:tcPr>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1、3D打印机参数：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1.1、成型技术：熔融沉积成型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1.2、打印尺寸：≥256 × 256 × 256 mm³；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1.3、工具头：喷嘴最高温度不低于300 ℃，自带0.4 mm直径喷嘴，可扩展0.2 mm, 0.6 mm, 0.8 mm直径喷嘴；</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1.4、热床：低温打印面板，可扩展高温打印面板和PEI纹理打印面板。热床最高温度不低于 110℃@220V, 120℃@110V；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1.5、速度：工具头最大移动速度不低于500 mm/s，工具头最大移动加速度不低于20 m/s²，热端最大流速不低于32 mm³/s（ABS材料）；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1.6、支持耗材类型：PLA, PETG, TPU, ABS, ASA, PVA, PET，PA，PC；</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1.7、传感器：包含：微激光雷达、高清摄像头、开门检测传感器、断料检测传感器、温度传感器等。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1.8、电子设备：支持Wi-Fi和 Bambu-Bus通信（用于打印机和AMS通信），可以通过APP和电脑端应用远程操控打印机和观看打印机视频。</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1.9、健康管理系统：负责收集和监控整个系统状态，包括：硬件连接、工作状态机械状态等。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1.10、材料系统：支持多色打印：标配支持4色打印；</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2、课程配件包</w:t>
            </w:r>
            <w:r>
              <w:rPr>
                <w:highlight w:val="none"/>
              </w:rPr>
            </w:r>
            <w:r/>
          </w:p>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2.1.设计软件</w:t>
            </w:r>
            <w:r>
              <w:rPr>
                <w:highlight w:val="none"/>
              </w:rPr>
            </w:r>
            <w:r/>
          </w:p>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2.1.1触屏操作：支持Windows系统触屏白板设备操作。</w:t>
            </w:r>
            <w:r>
              <w:rPr>
                <w:highlight w:val="none"/>
              </w:rPr>
            </w:r>
            <w:r/>
          </w:p>
          <w:p>
            <w:pPr>
              <w:ind w:left="0" w:right="0" w:firstLine="0"/>
              <w:jc w:val="left"/>
              <w:spacing w:line="240" w:lineRule="auto"/>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2.1.2设计功能：可实现实体设计、草图绘制、参数化建模和模型编辑功能</w:t>
            </w:r>
            <w:r>
              <w:rPr>
                <w:highlight w:val="none"/>
              </w:rPr>
            </w:r>
            <w:r/>
          </w:p>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2.1.3</w:t>
            </w:r>
            <w:r>
              <w:rPr>
                <w:rFonts w:hint="eastAsia" w:ascii="宋体" w:hAnsi="宋体" w:eastAsia="宋体" w:cs="宋体"/>
                <w:color w:val="000000" w:themeColor="text1"/>
                <w:sz w:val="20"/>
                <w:szCs w:val="22"/>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t xml:space="preserve">设计功能：可以通过造型表面上的多个点来控制造型变形；可对造型进行扭曲、折弯、锥度等多种变形处理；stl模型编辑：可以实现STL模型和实体模型、STL模型和STL模型之间的布尔运算，并生成新的STL模型；积木/Python编程建模：在同一软件内可以直接用积木编程和Python编程进行建模，并且两类编程内容可以时时互换。（提供</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书面承诺并加盖公章</w:t>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bookmarkStart w:id="200" w:name="OLE_LINK7"/>
            <w:r>
              <w:rPr>
                <w:rFonts w:hint="eastAsia" w:ascii="宋体" w:hAnsi="宋体" w:eastAsia="宋体" w:cs="宋体"/>
                <w:color w:val="000000" w:themeColor="text1"/>
                <w:sz w:val="20"/>
                <w:szCs w:val="20"/>
                <w:highlight w:val="none"/>
                <w:lang w:bidi="ar"/>
                <w14:textFill>
                  <w14:solidFill>
                    <w14:schemeClr w14:val="tx1"/>
                  </w14:solidFill>
                </w14:textFill>
              </w:rPr>
              <w:t xml:space="preserve">2.2.</w:t>
            </w:r>
            <w:bookmarkEnd w:id="200"/>
            <w:r>
              <w:rPr>
                <w:rFonts w:hint="eastAsia" w:ascii="宋体" w:hAnsi="宋体" w:eastAsia="宋体" w:cs="宋体"/>
                <w:color w:val="000000" w:themeColor="text1"/>
                <w:sz w:val="20"/>
                <w:szCs w:val="20"/>
                <w:highlight w:val="none"/>
                <w:lang w:bidi="ar"/>
                <w14:textFill>
                  <w14:solidFill>
                    <w14:schemeClr w14:val="tx1"/>
                  </w14:solidFill>
                </w14:textFill>
              </w:rPr>
              <w:t xml:space="preserve">连接件器材包：包含紧固件、链接件、提升机构支架、支撑的搭建所需零件，连接件公差在±0.2mm，数量必须保证搭建所需。</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2.3.电子件器材包：包含主控板、处理器（Nordic semiconductor nrf52833）、内存（512kb Flash 128kb RAM）、外置芯片（NXPKL27Z 32KB RAM）、</w:t>
            </w:r>
            <w:r>
              <w:rPr>
                <w:rFonts w:hint="eastAsia" w:ascii="宋体" w:hAnsi="宋体" w:eastAsia="宋体" w:cs="宋体"/>
                <w:color w:val="000000" w:themeColor="text1"/>
                <w:sz w:val="20"/>
                <w:szCs w:val="20"/>
                <w:highlight w:val="none"/>
                <w:lang w:bidi="ar"/>
                <w14:textFill>
                  <w14:solidFill>
                    <w14:schemeClr w14:val="tx1"/>
                  </w14:solidFill>
                </w14:textFill>
              </w:rPr>
              <w:t xml:space="preserve">麦克风（MEMS麦克风）、扬声器（板载扬声器）、扩展接口、I2C总线（独立I2C总线）、无线（2.4GHZ广播/蓝牙5.0）、电源（micro USB5V供电/3V电源接口）、指示灯（电源指示灯）、工作电流（200mA）、运动传感器（STLSM303）、扩展板、电池（聚合物锂电池），并且需满足工作电压：3.7v～5v，工作温度：-20℃~60℃范围内正常工作。还要具有电机驱动、舵机驱动、IO口、I2C接口、板载LED、蜂鸣器：、板载功能开关、氛围灯等。支持编程软件：C++，Makecode，Python等。</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2.4.搭建材料包：≥100根（250mm×5mm×5mm），ABS管材公差在±0.2mm。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2.5.提升材料包：包含手套、挂钩、吊装线等必要材料。</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2.6.</w:t>
            </w:r>
            <w:bookmarkStart w:id="201" w:name="OLE_LINK6"/>
            <w:r>
              <w:rPr>
                <w:rFonts w:hint="eastAsia" w:ascii="宋体" w:hAnsi="宋体" w:eastAsia="宋体" w:cs="宋体"/>
                <w:color w:val="000000" w:themeColor="text1"/>
                <w:sz w:val="20"/>
                <w:szCs w:val="20"/>
                <w:highlight w:val="none"/>
                <w:lang w:bidi="ar"/>
                <w14:textFill>
                  <w14:solidFill>
                    <w14:schemeClr w14:val="tx1"/>
                  </w14:solidFill>
                </w14:textFill>
              </w:rPr>
              <w:t xml:space="preserve">▲配套课程：包含设计连接件、设计顶层平台、设计提升机构、组装搭建等不少于八课时；提供课程目录加盖</w:t>
            </w:r>
            <w:r>
              <w:rPr>
                <w:rFonts w:hint="eastAsia" w:ascii="宋体" w:hAnsi="宋体" w:eastAsia="宋体" w:cs="宋体"/>
                <w:color w:val="000000" w:themeColor="text1"/>
                <w:sz w:val="20"/>
                <w:szCs w:val="20"/>
                <w:highlight w:val="none"/>
                <w:lang w:val="en-US" w:eastAsia="zh-CN" w:bidi="ar"/>
                <w14:textFill>
                  <w14:solidFill>
                    <w14:schemeClr w14:val="tx1"/>
                  </w14:solidFill>
                </w14:textFill>
              </w:rPr>
              <w:t xml:space="preserve">投标单位</w:t>
            </w:r>
            <w:r>
              <w:rPr>
                <w:rFonts w:hint="eastAsia" w:ascii="宋体" w:hAnsi="宋体" w:eastAsia="宋体" w:cs="宋体"/>
                <w:color w:val="000000" w:themeColor="text1"/>
                <w:sz w:val="20"/>
                <w:szCs w:val="20"/>
                <w:highlight w:val="none"/>
                <w:lang w:bidi="ar"/>
                <w14:textFill>
                  <w14:solidFill>
                    <w14:schemeClr w14:val="tx1"/>
                  </w14:solidFill>
                </w14:textFill>
              </w:rPr>
              <w:t xml:space="preserve">公章。可完成2种以上三维设计改进、竞技比赛等教学任务及相关活动。</w:t>
            </w:r>
            <w:bookmarkEnd w:id="201"/>
            <w:r>
              <w:rPr>
                <w:highlight w:val="none"/>
              </w:rPr>
            </w:r>
            <w:r/>
          </w:p>
        </w:tc>
        <w:tc>
          <w:tcPr>
            <w:shd w:val="clear" w:color="auto" w:fill="ffffff"/>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4</w:t>
            </w:r>
            <w:r>
              <w:rPr>
                <w:highlight w:val="none"/>
              </w:rPr>
            </w:r>
            <w:r/>
          </w:p>
        </w:tc>
        <w:tc>
          <w:tcPr>
            <w:shd w:val="clear" w:color="auto" w:fill="ffffff"/>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14</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专用3D打印耗材</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1.75mm PLA耗材 1000g</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80</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卷</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15</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智能系统控制柜</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1.规格：525*200*650mm；</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功能：采用物联网+现代生活模式。设置总漏电保护器1个、每分路一个漏电保护器、总控制器一个、开关电源若干个、紧急开关一个，启动开关一个。多种元器件组合成强大保护集成电路。保障220V电源具有漏电、短路、过载保护。低压输出驱动电压、学生电3.源交直流电压，具有智能保护系统，短路过载具有自动复位功能。多功能集中控制系统能控制每个学生照明、电源升降、交直流电压及能锁定学生交直流电压。</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4.智能系统控制柜技术要求满足：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（1）标志：调节装置、输出插孔应有清晰明了、耐用的提示文字和符号；电压输出应能显示电压表上。</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（2）电压调节范围，V.:AC/DC:0～30V;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（3）内部导线连接：连线后应无应力；黄绿双色线必须是接地端子，部件固定牢固，无松动现象。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（4）电压指示精度，V:显示值与输出值之间的误差应在±2V以内。</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台</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16</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多功能集中控制系统</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集中控制系统。可执行各分项分页控制；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（1）升降控制：可以实现单个控制，可以集中控制，可以任意组合控制；</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（2）220V电源控制：控制学生AC220V电源；</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（3）低压控制：教室主控，分组控制。</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17</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顶部多模块电源供应装置</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1、采用ABS材质，模具一体成型。模块内预留220V高压电源、0-24V低压电源、网络接口位置。</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2、顶部多模块电源供应装置技术要求满足：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（1）标志：调节装置、输出插孔应有清晰明了、耐用的提示文字和符号；电压输出应能显示在电压表上；</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（2）电压调节范围:AC\DC:0～24V；</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（3）内部导线连接：连线后应无应力；黄绿双色线必须是接地端子，部件固定牢固，无松动现象。</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（4）电压指示精度，V:显示值与输出值之间的误差应在±2V以内</w:t>
            </w:r>
            <w:r>
              <w:rPr>
                <w:rFonts w:hint="eastAsia" w:ascii="宋体" w:hAnsi="宋体" w:eastAsia="宋体" w:cs="宋体"/>
                <w:color w:val="000000" w:themeColor="text1"/>
                <w:sz w:val="20"/>
                <w:szCs w:val="20"/>
                <w:highlight w:val="none"/>
                <w:lang w:eastAsia="zh-CN" w:bidi="ar"/>
                <w14:textFill>
                  <w14:solidFill>
                    <w14:schemeClr w14:val="tx1"/>
                  </w14:solidFill>
                </w14:textFill>
              </w:rPr>
              <w:t xml:space="preserve">。</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18</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模块储藏装置</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采用ABS材质，模具一体成型。四周带氛围灯设计。</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19</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伸缩线束</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含高低压供电线缆和网络线缆。</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项</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20</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高压电源模块</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采用220V，多功能安全插座。</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32</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21</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智能升降系统</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性能要求：</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 1.采用自动升降系统，自带保护功能。</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2.智能升降系统技术要求满足：</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（1）外观要求:各部件应进行防腐处理；可触及部位应无毛刺、飞边、快口等缺陷；外壳加工规整，无明显敲击和机械损伤；部件的定位应可靠，不应有窜动、歪斜、工作卡阻等影响使用的缺陷。</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（2）主体金属材料硬度，HV1：≥180HV1</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（3）防护涂层的要求，um：涂层表面光滑，颜色、色泽应基本一致，无气泡，不脱落；任意五点的平均厚度应≥100um；经2H铅笔硬度试验后，涂层应无明显痕迹</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（4）运行稳定性：经升降200次试验后，运行应无异常现象发生。</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8</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个</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22</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综合布线</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Style w:val="1265"/>
                <w:rFonts w:ascii="宋体" w:eastAsia="宋体"/>
                <w:color w:val="000000" w:themeColor="text1"/>
                <w:sz w:val="20"/>
                <w:szCs w:val="20"/>
                <w:highlight w:val="none"/>
                <w:lang w:bidi="ar"/>
                <w14:textFill>
                  <w14:solidFill>
                    <w14:schemeClr w14:val="tx1"/>
                  </w14:solidFill>
                </w14:textFill>
              </w:rPr>
              <w:t xml:space="preserve">2.5mm²电线，给学生低压电源供电；1mm²屏蔽电源线。</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项</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23</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安装支架</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1.环氧树脂喷涂金属吊杆。</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2.安装支架技术要求满足：（1）抗拉强度Rm，MPa，/；检测结果≥150</w:t>
            </w:r>
            <w:r>
              <w:rPr>
                <w:rFonts w:hint="eastAsia" w:ascii="宋体" w:hAnsi="宋体" w:eastAsia="宋体" w:cs="宋体"/>
                <w:color w:val="000000" w:themeColor="text1"/>
                <w:sz w:val="20"/>
                <w:szCs w:val="20"/>
                <w:highlight w:val="none"/>
                <w:lang w:bidi="ar"/>
                <w14:textFill>
                  <w14:solidFill>
                    <w14:schemeClr w14:val="tx1"/>
                  </w14:solidFill>
                </w14:textFill>
              </w:rPr>
              <w:br w:type="textWrapping" w:clear="all"/>
            </w:r>
            <w:r>
              <w:rPr>
                <w:rFonts w:hint="eastAsia" w:ascii="宋体" w:hAnsi="宋体" w:eastAsia="宋体" w:cs="宋体"/>
                <w:color w:val="000000" w:themeColor="text1"/>
                <w:sz w:val="20"/>
                <w:szCs w:val="20"/>
                <w:highlight w:val="none"/>
                <w:lang w:bidi="ar"/>
                <w14:textFill>
                  <w14:solidFill>
                    <w14:schemeClr w14:val="tx1"/>
                  </w14:solidFill>
                </w14:textFill>
              </w:rPr>
              <w:t xml:space="preserve">。</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间</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24</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安装辅件</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国标五金件，线缆等。</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间</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ascii="宋体" w:eastAsia="宋体"/>
                <w:color w:val="000000" w:themeColor="text1"/>
                <w:sz w:val="20"/>
                <w:szCs w:val="22"/>
                <w:highlight w:val="none"/>
                <w14:textFill>
                  <w14:solidFill>
                    <w14:schemeClr w14:val="tx1"/>
                  </w14:solidFill>
                </w14:textFill>
              </w:rPr>
            </w:pPr>
            <w:r>
              <w:rPr>
                <w:rFonts w:hint="eastAsia" w:ascii="宋体" w:eastAsia="宋体"/>
                <w:color w:val="000000" w:themeColor="text1"/>
                <w:sz w:val="20"/>
                <w:szCs w:val="22"/>
                <w:highlight w:val="none"/>
                <w:lang w:bidi="ar"/>
                <w14:textFill>
                  <w14:solidFill>
                    <w14:schemeClr w14:val="tx1"/>
                  </w14:solidFill>
                </w14:textFill>
              </w:rPr>
              <w:t xml:space="preserve">25</w:t>
            </w:r>
            <w:r>
              <w:rPr>
                <w:highlight w:val="none"/>
              </w:rPr>
            </w:r>
            <w:r/>
          </w:p>
        </w:tc>
        <w:tc>
          <w:tcPr>
            <w:tcW w:w="1472" w:type="dxa"/>
            <w:vAlign w:val="center"/>
            <w:textDirection w:val="lrTb"/>
            <w:noWrap w:val="false"/>
          </w:tcPr>
          <w:p>
            <w:pPr>
              <w:ind w:left="0" w:right="0" w:firstLine="0"/>
              <w:jc w:val="left"/>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集成系统调试</w:t>
            </w:r>
            <w:r>
              <w:rPr>
                <w:highlight w:val="none"/>
              </w:rPr>
            </w:r>
            <w:r/>
          </w:p>
        </w:tc>
        <w:tc>
          <w:tcPr>
            <w:tcW w:w="5169" w:type="dxa"/>
            <w:vAlign w:val="center"/>
            <w:textDirection w:val="lrTb"/>
            <w:noWrap w:val="false"/>
          </w:tcPr>
          <w:p>
            <w:pPr>
              <w:ind w:left="0" w:right="0" w:firstLine="0"/>
              <w:jc w:val="left"/>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bidi="ar"/>
                <w14:textFill>
                  <w14:solidFill>
                    <w14:schemeClr w14:val="tx1"/>
                  </w14:solidFill>
                </w14:textFill>
              </w:rPr>
              <w:t xml:space="preserve">升降功能、高压电源系统调试；</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lang w:bidi="ar"/>
                <w14:textFill>
                  <w14:solidFill>
                    <w14:schemeClr w14:val="tx1"/>
                  </w14:solidFill>
                </w14:textFill>
              </w:rPr>
              <w:t xml:space="preserve">项</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26</w:t>
            </w:r>
            <w:r>
              <w:rPr>
                <w:highlight w:val="none"/>
              </w:rPr>
            </w: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16路行为分析终端</w:t>
            </w:r>
            <w:r>
              <w:rPr>
                <w:highlight w:val="none"/>
              </w:rPr>
            </w:r>
            <w:r/>
          </w:p>
        </w:tc>
        <w:tc>
          <w:tcPr>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1.可对接16台摄像机，支持对每个摄像机配置算法，算法可包括环境风险、人员着装和人员行为；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2.环境风险算法；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3.人员着装算法；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4.人员行为算法（抽烟、打电话、看手机同时实现）；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5.可接入符合RTSP、GB/T28181标准的高清网络摄像机；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6.视频诊断：支持满载最大16路视频流；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7.人脸识别：支持满载最大16路视频流；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8.视频结构化：支持满载最大16路视频流；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9.主处理器：不低于4 x ARMCortexA53@1.3G；</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10.NPU：支持 INT4 ≥ 28.8Tops；</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11.网络接口：≥2 个，1000M 自适应以太网，RJ45接口；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12.前置USB接口：≥1个USB2.0，1个USB3.0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13.RS485：≥1路；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14.PWR：≥1个；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15.RUN：≥1个，双色（红+绿）；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16.电源：DC12V±10%，2A；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17.结构：金属机壳；</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18.规格尺寸：215×200×49（mm）；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19.重量：＜4KG；</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20.48小时不间断运行设备正常稳定；</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21.低温要求：符合GB/T2423.1-2008；</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22.高温要求：符合GB/T2423.2-2008；</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23.湿热要求：GB/T 2423.3-2016；</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24.工作温度满足：-10℃~50℃；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25.工作湿度：温度40℃，湿度95%；</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27</w:t>
            </w:r>
            <w:r>
              <w:rPr>
                <w:highlight w:val="none"/>
              </w:rPr>
            </w: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物联网温室种植系统</w:t>
            </w:r>
            <w:r>
              <w:rPr>
                <w:highlight w:val="none"/>
              </w:rPr>
            </w: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1.产品尺寸：≥800×1200×40mm（长×高×厚）；采用铝合金外壳，方钢框架支撑，所有型材表面均经纯环氧树脂塑粉高温固化处理。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屏幕尺寸≥15英寸一体机1台，农业大棚模型和交互按钮，大棚内置花草模型≥1个、机动遮阳布≥1个、加温模拟器≥1个、加湿模拟器≥1个，小型排风扇≥1个；采用智慧型逻辑主板读取交互环境的数值并驱动相应机电动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3.支持通过智能一体机和环境交互按钮，展示智慧农业大棚的原理及运行方式；支持通过交互按钮分别对智慧农业大棚模型里的“空气温度”、“土壤湿度”、“土壤温度”、“光照强度”、“二氧化碳浓度”等环境因素进行调节；支持程序根据当前的环境自动开关相应设备。</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28</w:t>
            </w:r>
            <w:r>
              <w:rPr>
                <w:highlight w:val="none"/>
              </w:rPr>
            </w: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AI互动机械手掌</w:t>
            </w:r>
            <w:r>
              <w:rPr>
                <w:highlight w:val="none"/>
              </w:rPr>
            </w: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支持Caffe/TensorFlow/MXNet/PyTorch架构模型，内嵌2D图像加速模块≥1个，NPU算力≥6TOPS，支持int4/int8/int16/FP16混合运算，支持运行Linux系统或安卓系统；主板接口及电子模块接口均为RJ11接口，电源转接板支持6~12V电压；≥3个D2.1-5.5防反接电源接口，≥1个RJ11接口，≥2个按键输入接口，≥2个电机输出接口，≥2个可调电位器；配置12V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采用阳极氧化铝合金六边形框，基于模块化设计，具有单独的展示和互动功能；六边形对边尺寸≥340mm,厚度≥85mm，≥5个过线孔；内置主控器≥1个，主控扩展板≥1个，机械手掌≥1个，LCD彩屏≥5英寸，摄像头≥1个，RGBLED灯条≥1根，透明面框≥1套，底板≥1套，适配器≥1个，电源转接板≥1个。</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29</w:t>
            </w:r>
            <w:r>
              <w:rPr>
                <w:highlight w:val="none"/>
              </w:rPr>
            </w: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AI大模型-中国航天</w:t>
            </w:r>
            <w:r>
              <w:rPr>
                <w:highlight w:val="none"/>
              </w:rPr>
            </w: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支持Caffe/TensorFlow/MXNet/PyTorch架构模型，内嵌2D图像加速模块≥1个，NPU算力≥6TOPS，支持int4/int8/int16/FP16混合运算，支持运行Linux系统或安卓系统；主板接口及电子模块接口均为RJ11接口，电源转接板支持6~12V电压；≥3个D2.1-5.5防反接电源接口，≥1个RJ11接口，≥2个按键输入接口，≥2个电机输出接口，≥2个可调电位器；配置12V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采用阳极氧化铝合金六边形框，基于模块化设计，具有单独的展示和互动功能；六边形对边尺寸≥340mm,厚度≥85mm，≥5个过线孔；内置喇叭≥2个，麦克风≥1个，触摸彩屏≥5英寸，MP3语音播报模块≥1个，离线语音识别模块≥1个，航天模型≥1个，RGBLED灯条≥1根，透明面框≥1套，底板≥1套，适配器≥1个，电源转接板≥1个。</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30</w:t>
            </w:r>
            <w:r>
              <w:rPr>
                <w:highlight w:val="none"/>
              </w:rPr>
            </w: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AI大模型-新能源</w:t>
            </w:r>
            <w:r>
              <w:rPr>
                <w:highlight w:val="none"/>
              </w:rPr>
            </w: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1.AI主控板：采用国产的高性能芯片作为主控芯片。其是一款低功耗、高性能处理器，适用于ARM架构的PC和边缘计算设备、个人移动互联网设备和8K智能电视盒子等其他数字多媒体应用。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•支持OpenGLES1.1/2.0/3.2，OpenCL2.2，Vulkan1.2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•内嵌高性能2D图像加速模块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NPU•高达6TOPS算力，支持int4/int8/int16/FP16混合运算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•支持Caffe/TensorFlow/MXNet/PyTorch架构模型的轻松转换显示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•支持eDP/DP/HDMI2.1/MIPI多种显示接口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•支持多屏异显，最高8K60Hz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多媒体•支持H.265/H.264/AV1/VP9/AVS2视频解码，最高8K60FPS。该主板可运行Linux系统或安卓系统。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从机主控板：嵌入式从机主控板是一块国产物联网主控板。工作电压DC6-12V，宽电压适应。主控上有2个直流电机接口，可以直接用于驱动电机。主控有复位按键1个，电源开关1个，左右LED灯4个，板载光线传感器1个，板载声音传感器1个，板载蜂鸣器1个，RJ11接口4个。支持USB对锂电池包充电。支持单总线和I2C通信协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3.黑色阳极氧化铝合金六边形框，带M4螺孔，便于安装固定于墙面，高透明面框，便于学生看到内部实现原理。六边形对边尺寸大于340mm,厚度小于85mm，不少于5个过线孔。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4.黑色阳极氧化铝合金六边形底框，6个螺丝安装孔，六边形对边尺寸大于360mm,厚度小于42mm。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3.电源转接板支持6~12V电压，不少于5个D2.1-5.5防反接电源接口，不少于4个RJ11接口，不少于3个按键输入接口，不少于2个电机输出接口，2个可调电位器。拥有一个电源总控制开关接口。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5.配置12V05电源适配器，具有过载保护，外接220V标准电源。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6.配置高亮度LED05灯条，环形固定在六边形内框，不外露又能实现炫彩灯光效果，灯珠不少于20个均匀分布，光均称无阴影。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配置不少于2个喇叭，不少于2个麦克风，不少于6英寸的触摸彩屏，至少1个MP3，至少1个离线语音识别模块，高性能人工智能主控板1块，国产芯片嵌入式主控1块，新能源模型1个，电压开关按键1个，高亮度LED05灯条1根，阳极氧化铝合金六边形框一套、透明面框一套、底板1套、安装底座1套、适配器1个，电源转接板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8.一体式安装，现场无需再DIY组装，插上电源，固定螺钉即可使用。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9.案例框支持任意组合，可以是一朵花的样式，可以是相互拼接，也可以单独安装。</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31</w:t>
            </w:r>
            <w:r>
              <w:rPr>
                <w:highlight w:val="none"/>
              </w:rPr>
            </w:r>
            <w:r/>
          </w:p>
        </w:tc>
        <w:tc>
          <w:tcPr>
            <w:shd w:val="clear" w:color="auto" w:fill="ffffff"/>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AI大模型-克鲁克斯辐射计</w:t>
            </w:r>
            <w:r>
              <w:rPr>
                <w:highlight w:val="none"/>
              </w:rPr>
            </w: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支持Caffe/TensorFlow/MXNet/PyTorch架构模型，内嵌2D图像加速模块≥1个，NPU算力≥6TOPS，支持int4/int8/int16/FP16混合运算，支持运行Linux系统或安卓系统；主板接口及电子模块接口均为RJ11接口，电源转接板支持6~12V电压；≥3个D2.1-5.5防反接电源接口，≥1个RJ11接口，≥2个按键输入接口，≥2个电机输出接口，≥2个可调电位器；配置12V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采用阳极氧化铝合金六边形框，基于模块化设计，具有单独的展示和互动功能；六边形对边尺寸≥340mm,厚度≥85mm，≥5个过线孔；内置喇叭≥2个，麦克风≥1个，触摸彩屏≥5英寸，MP3语音播报模块≥1个，离线语音识别模块≥1个，克鲁克斯辐射仪模型≥1个，RGBLED灯条≥1根，透明面框≥1套，底板≥1套，适配器≥1个，电源转接板≥1个。</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32</w:t>
            </w:r>
            <w:r>
              <w:rPr>
                <w:highlight w:val="none"/>
              </w:rPr>
            </w: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AI大模型-矿物</w:t>
            </w:r>
            <w:r>
              <w:rPr>
                <w:highlight w:val="none"/>
              </w:rPr>
            </w: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1.AI主控板：采用国产的高性能芯片作为主控芯片。其是一款低功耗、高性能处理器，适用于 ARM 架构的 PC 和边缘计算设备、个人移动互联网设备和 8K 智能电视盒子等其他数字多媒体应用。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OpenGL ES 1.1/2.0/3.2，OpenCL 2.2，Vulkan 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•内嵌高性能 2D 图像加速模块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NPU•高达 6TOPS 算力，支持 int4/int8/int16/FP16 混合运算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Caffe/TensorFlow/MXNet/PyTorch 架构模型的轻松转换显示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eDP/DP/ HDMI2.1/MIPI 多种显示接口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•支持多屏异显， 最高 8K60Hz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多媒体•支持 H.265/H.264/AV1/VP9/AVS2 视频解码， 最高 8K60FPS。该主板可运行Linux系统或安卓系统。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从机主控板：至少1款嵌入式控制主控芯片；集成LED、按键、蜂鸣器、4个RJ11接口及2电机接口；可直接连接蓝牙BT4.1模块;并可扩展连接针式红外接收器，光线传感器，声音传感器、温度传感器、RGB灯环等插针式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3.配置高亮度LED05灯条，环形固定在六边形内框，不外露又能实现炫彩灯光效果，灯珠不少于20个均匀分布，光均称无阴影。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4.黑色阳极氧化铝合金六边形框，带M4螺孔，便于安装固定于墙面，高透明面框，便于学生看到内部实现原理。六边形对边尺寸大于340mm,厚度小于85mm，不少于5个过线孔。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5.黑色阳极氧化铝合金六边形底框，6个螺丝安装孔，六边形对边尺寸大于360mm,厚度小于42mm。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6.主板接口及电子模块接口均为RJ11接口，其中电子模块大部分带芯片，方便插接，无需对色标，即插即用，带反接和防松功能，降低学习门槛。</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7.电源转接板支持6~12V电压，不少于5个D2.1-5.5防反接电源接口，不少于4个RJ11接口，不少于3个按键输入接口，不少于2个电机输出接口，2个可调电位器。拥有一个电源总控制开关接口。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8.配置12V05电源适配器，具有过载保护，外接220V标准电源。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配置国产芯片嵌入式主控不少于1块，高性能人工智能主控板1块，可播放音频的喇叭至少1个，2个麦克风，不少于5英寸的触摸彩屏，离线语音语音识别模块1个，MP3语音播报模块至少1个，高亮度LED05灯条1根，矿物标本模型1个，阳极氧化铝合金六边形框一套、透明面框一套、底板1套、安装底座1套、适配器1个，电源转接板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10.一体式安装，现场无需再DIY组装，可以实现观察到各种类型的矿物的差异，同时可以进行语音交互的方式进行相关知识的科普。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11.案例框支持任意组合，可以是一朵花的样式，可以是相互拼接，也可以单独安装。</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33</w:t>
            </w:r>
            <w:r>
              <w:rPr>
                <w:highlight w:val="none"/>
              </w:rPr>
            </w: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AI大模型-闪电辉光球</w:t>
            </w:r>
            <w:r>
              <w:rPr>
                <w:highlight w:val="none"/>
              </w:rPr>
            </w:r>
            <w:r/>
          </w:p>
        </w:tc>
        <w:tc>
          <w:tcPr>
            <w:shd w:val="clear" w:color="auto" w:fill="ffffff"/>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1.AI主控板：采用国产的高性能芯片作为主控芯片。其是一款低功耗、高性能处理器，适用于 ARM 架构的 PC 和边缘计算设备、个人移动互联网设备和 8K 智能电视盒子等其他数字多媒体应用。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OpenGL ES 1.1/2.0/3.2，OpenCL 2.2，Vulkan 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•内嵌高性能 2D 图像加速模块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NPU•高达 6TOPS 算力，支持 int4/int8/int16/FP16 混合运算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Caffe/TensorFlow/MXNet/PyTorch 架构模型的轻松转换显示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 eDP/DP/ HDMI2.1/MIPI 多种显示接口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•支持多屏异显， 最高 8K60Hz</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多媒体•支持 H.265/H.264/AV1/VP9/AVS2 视频解码， 最高 8K60FPS。该主板可运行Linux系统或安卓系统。</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2.从机主控板：嵌入式从机主控板是一块国产物联网主控板。工作电压DC 6-12V，宽电压适应。主控上有2个直流电机接口，可以直接用于驱动电机。主控有复位按键1个，电源开关1个，左右LED灯4个，板载光线传感器1个，板载声音传感器1个，板载蜂鸣器1个，RJ11接口4个。支持USB对锂电池包充电。支持单总线和I2C通信协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3.配置离线版合成模块，支持中文、英文（包括数字、时间、数值、词语等）语音合成，模块自带MCU，可实现自动识别模块接入。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4.配置离线语音识别传感器及喇叭、不用联网即可快速进行语音识别，响应速度小于0.5S，可实现准确识别语音指令并快速作出回答，支持的语音指令不少于50条：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5.黑色阳极氧化铝合金六边形框，带M4螺孔，便于安装固定于墙面，高透明面框，便于学生看到内部实现原理。六边形对边尺寸大于340mm,厚度小于85mm，不少于5个过线孔。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6.黑色阳极氧化铝合金六边形底框，6个螺丝安装孔，六边形对边尺寸大于360mm,厚度小于42mm。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7.主板接口及电子模块接口均为RJ11接口，其中电子模块大部分带芯片，方便插接，无需对色标，即插即用，带反接和防松功能，降低学习门槛。</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8.电源转接板支持6~12V电压，不少于5个D2.1-5.5防反接电源接口，不少于4个RJ11接口，不少于3个按键输入接口，不少于2个电机输出接口，2个可调电位器。拥有一个电源总控制开关接口。</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9.配置12V05电源适配器，具有过载保护，外接220V标准电源。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10.配置高亮度LED05灯条，环形固定在六边形内框，不外露又能实现炫彩灯光效果，灯珠不少于20个均匀分布，光均称无阴影。</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配置国产芯片嵌入式主控不少于1块，高性能人工智能主控板1块，可播放音频的喇叭至少1个，2个麦克风，不少于5英寸的触摸彩屏，离线语音语音识别模块1个，MP3语音播报模块至少1个，高亮度LED05灯条1根，闪电辉光球模型1个，阳极氧化铝合金六边形框一套、透明面框一套、底板1套、安装底座1套、适配器1个，电源转接板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12.一体式安装，现场无需再DIY组装，可以实现观察到闪电辉光球现象，同时可以进行语音交互的方式进行相关知识的科普。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13.案例框支持任意组合，可以是一朵花的样式，可以是相互拼接，也可以单独安装。</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keepLines w:val="0"/>
              <w:keepNext w:val="0"/>
              <w:widowControl/>
              <w:rPr>
                <w:rFonts w:hint="default" w:ascii="宋体" w:hAnsi="仿宋" w:eastAsia="宋体" w:cs="仿宋"/>
                <w:i w:val="0"/>
                <w:iCs w:val="0"/>
                <w:color w:val="000000" w:themeColor="text1"/>
                <w:sz w:val="20"/>
                <w:szCs w:val="22"/>
                <w:highlight w:val="none"/>
                <w:u w:val="none"/>
                <w14:textFill>
                  <w14:solidFill>
                    <w14:schemeClr w14:val="tx1"/>
                  </w14:solidFill>
                </w14:textFill>
              </w:rPr>
              <w:suppressLineNumbers w:val="0"/>
            </w:pPr>
            <w:r>
              <w:rPr>
                <w:rFonts w:hint="eastAsia" w:ascii="宋体" w:hAnsi="仿宋" w:cs="仿宋"/>
                <w:i w:val="0"/>
                <w:iCs w:val="0"/>
                <w:color w:val="000000" w:themeColor="text1"/>
                <w:sz w:val="20"/>
                <w:szCs w:val="22"/>
                <w:highlight w:val="none"/>
                <w:u w:val="none"/>
                <w:lang w:val="en-US" w:eastAsia="zh-CN" w:bidi="ar"/>
                <w14:textFill>
                  <w14:solidFill>
                    <w14:schemeClr w14:val="tx1"/>
                  </w14:solidFill>
                </w14:textFill>
              </w:rPr>
              <w:t xml:space="preserve">34</w:t>
            </w:r>
            <w:r>
              <w:rPr>
                <w:highlight w:val="none"/>
              </w:rPr>
            </w:r>
            <w:r/>
          </w:p>
        </w:tc>
        <w:tc>
          <w:tcPr>
            <w:tcW w:w="1472"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智能互动机器人（迎宾互动款）</w:t>
            </w:r>
            <w:r>
              <w:rPr>
                <w:highlight w:val="none"/>
              </w:rPr>
            </w:r>
            <w:r/>
          </w:p>
        </w:tc>
        <w:tc>
          <w:tcPr>
            <w:tcW w:w="516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外观尺寸(mm) L460*W460*H1200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本体重量(kg) 约20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电池类型 锂电池</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电池容量（Ah） 15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持续工作时长（H） ≥8</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充电时长（H） 2~3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充电器输入 AC100~240V</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充电桩输出 DC24V/8A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平均功率（W） 45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头部表情类型 LCD表情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颜色 黑色+白色</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触摸屏类型 电容式多点触控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触摸屏尺寸（英寸） 13.3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屏幕接口 HDMI</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触摸屏分辨率 1080*1920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AI交互系统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CPU RK3588，四核 2.4GHz Cortex-A76+四核 1.8GHz Cortex-A55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RAM 8G</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ROM 64G（支持扩展）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OS Android 12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运动性能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速度（m/s） 0~1.2（可调）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距离1米运行噪音(dB) ≤55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刹车距离（mm） ≤200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点头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摇头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驱动轮 4.5寸*2</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万向轮 2寸*4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传感器及声光配置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麦克风 线性麦克风阵列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摄像头像素 800万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超声传感器 1个</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里程计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激光雷达 40米 TOF</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陀螺仪 6轴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全频带音响系统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手臂LED氛围灯 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无线通讯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WIFI(2.4GHz) 支持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WIFI(5GHz) 支持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4G(支持选配) 全网通</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1</w:t>
            </w:r>
            <w:r>
              <w:rPr>
                <w:highlight w:val="none"/>
              </w:rPr>
            </w:r>
            <w:r/>
          </w:p>
        </w:tc>
        <w:tc>
          <w:tcPr>
            <w:tcW w:w="84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themeColor="text1"/>
                <w:sz w:val="20"/>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2"/>
                <w:highlight w:val="none"/>
                <w:u w:val="none"/>
                <w:lang w:val="en-US" w:eastAsia="zh-CN" w:bidi="ar"/>
                <w14:textFill>
                  <w14:solidFill>
                    <w14:schemeClr w14:val="tx1"/>
                  </w14:solidFill>
                </w14:textFill>
              </w:rPr>
              <w:t xml:space="preserve">套</w:t>
            </w:r>
            <w:r>
              <w:rPr>
                <w:highlight w:val="none"/>
              </w:rPr>
            </w:r>
            <w:r/>
          </w:p>
        </w:tc>
      </w:tr>
      <w:tr>
        <w:trPr>
          <w:jc w:val="center"/>
        </w:trPr>
        <w:tc>
          <w:tcPr>
            <w:tcW w:w="843" w:type="dxa"/>
            <w:vAlign w:val="center"/>
            <w:textDirection w:val="lrTb"/>
            <w:noWrap w:val="false"/>
          </w:tcPr>
          <w:p>
            <w:pPr>
              <w:ind w:left="0" w:right="0" w:firstLine="0"/>
              <w:jc w:val="center"/>
              <w:widowControl/>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r>
            <w:r>
              <w:rPr>
                <w:highlight w:val="none"/>
              </w:rPr>
            </w:r>
            <w:r/>
          </w:p>
        </w:tc>
        <w:tc>
          <w:tcPr>
            <w:tcW w:w="1472" w:type="dxa"/>
            <w:vAlign w:val="center"/>
            <w:textDirection w:val="lrTb"/>
            <w:noWrap w:val="false"/>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r/>
          </w:p>
        </w:tc>
        <w:tc>
          <w:tcPr>
            <w:tcW w:w="5169" w:type="dxa"/>
            <w:vAlign w:val="center"/>
            <w:textDirection w:val="lrTb"/>
            <w:noWrap w:val="false"/>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r/>
          </w:p>
        </w:tc>
        <w:tc>
          <w:tcPr>
            <w:tcW w:w="843" w:type="dxa"/>
            <w:vAlign w:val="center"/>
            <w:textDirection w:val="lrTb"/>
            <w:noWrap/>
          </w:tcPr>
          <w:p>
            <w:pPr>
              <w:ind w:left="0" w:right="0" w:firstLine="0"/>
              <w:jc w:val="cente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rPr>
                <w:highlight w:val="none"/>
              </w:rPr>
            </w:r>
            <w:r/>
          </w:p>
        </w:tc>
      </w:tr>
    </w:tbl>
    <w:p>
      <w:pPr>
        <w:numPr>
          <w:ilvl w:val="0"/>
          <w:numId w:val="0"/>
        </w:numPr>
        <w:keepLines w:val="0"/>
        <w:keepNext w:val="0"/>
        <w:pageBreakBefore w:val="0"/>
        <w:spacing w:line="560" w:lineRule="exact"/>
        <w:widowControl w:val="off"/>
        <w:tabs>
          <w:tab w:val="left" w:pos="0" w:leader="none"/>
        </w:tabs>
        <w:rPr>
          <w:rFonts w:hint="eastAsia"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lang w:eastAsia="zh-CN"/>
          <w14:textFill>
            <w14:solidFill>
              <w14:schemeClr w14:val="tx1"/>
            </w14:solidFill>
          </w14:textFill>
        </w:rPr>
        <w:t xml:space="preserve">（四）</w:t>
      </w:r>
      <w:r>
        <w:rPr>
          <w:rFonts w:hint="eastAsia" w:ascii="宋体" w:hAnsi="宋体" w:cs="Courier New"/>
          <w:b/>
          <w:bCs/>
          <w:color w:val="000000" w:themeColor="text1"/>
          <w:sz w:val="28"/>
          <w:szCs w:val="28"/>
          <w:highlight w:val="none"/>
          <w14:textFill>
            <w14:solidFill>
              <w14:schemeClr w14:val="tx1"/>
            </w14:solidFill>
          </w14:textFill>
        </w:rPr>
        <w:t xml:space="preserve">采购标的需满足的服务标准、期限、效率等要求</w:t>
      </w:r>
      <w:r>
        <w:rPr>
          <w:highlight w:val="none"/>
        </w:rPr>
      </w: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总体要求：</w:t>
      </w:r>
      <w:r>
        <w:rPr>
          <w:highlight w:val="none"/>
        </w:rPr>
      </w: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中标供应商须提供安装、调试、培训、维护等服务，硬件设备原厂</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 xml:space="preserve">两年</w:t>
      </w:r>
      <w:r>
        <w:rPr>
          <w:rFonts w:hint="eastAsia" w:ascii="仿宋" w:hAnsi="仿宋" w:eastAsia="仿宋" w:cs="仿宋"/>
          <w:bCs/>
          <w:color w:val="000000" w:themeColor="text1"/>
          <w:sz w:val="28"/>
          <w:szCs w:val="28"/>
          <w:highlight w:val="none"/>
          <w14:textFill>
            <w14:solidFill>
              <w14:schemeClr w14:val="tx1"/>
            </w14:solidFill>
          </w14:textFill>
        </w:rPr>
        <w:t xml:space="preserve">质保、课程资源包可以单独下载，软件永久授权，所有设备质保期内免费维护维修及技术支持，保修期以外提供免费维护和技术支持，维修只收材料成本费及交通费。设备发生故障时，接到用户通知需24小时内上门，48小时内解决问题。</w:t>
      </w:r>
      <w:r>
        <w:rPr>
          <w:highlight w:val="none"/>
        </w:rPr>
      </w: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培训要求：</w:t>
      </w:r>
      <w:r>
        <w:rPr>
          <w:highlight w:val="none"/>
        </w:rPr>
      </w: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1.对采购单位人员进行该技术内容操作使用和维护保养的培训不少于2天。</w:t>
      </w:r>
      <w:r>
        <w:rPr>
          <w:highlight w:val="none"/>
        </w:rPr>
      </w: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2.对采购单位人员工进行设备安全培训。</w:t>
      </w:r>
      <w:r>
        <w:rPr>
          <w:highlight w:val="none"/>
        </w:rPr>
      </w: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3.提供设备运行、调试、维护过程中必要的专用工具、软件，以及对相关人员进行工艺设置、设备运行、调试和维护过程中相关的专用工具及软件使用的培训。</w:t>
      </w:r>
      <w:r>
        <w:rPr>
          <w:highlight w:val="none"/>
        </w:rPr>
      </w:r>
      <w:r/>
    </w:p>
    <w:p>
      <w:pPr>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4.成交供应商应免费提供一定数量的培训资料。</w:t>
      </w:r>
      <w:r>
        <w:rPr>
          <w:highlight w:val="none"/>
        </w:rPr>
      </w:r>
      <w:r/>
    </w:p>
    <w:p>
      <w:pPr>
        <w:ind w:left="0" w:firstLine="0"/>
        <w:keepLines w:val="0"/>
        <w:keepNext w:val="0"/>
        <w:pageBreakBefore w:val="0"/>
        <w:spacing w:line="560" w:lineRule="exact"/>
        <w:widowControl w:val="off"/>
        <w:tabs>
          <w:tab w:val="left" w:pos="0" w:leader="none"/>
        </w:tabs>
        <w:rPr>
          <w:rFonts w:hint="eastAsia"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14:textFill>
            <w14:solidFill>
              <w14:schemeClr w14:val="tx1"/>
            </w14:solidFill>
          </w14:textFill>
        </w:rPr>
        <w:t xml:space="preserve">（五）采购标的验收标准</w:t>
      </w:r>
      <w:r>
        <w:rPr>
          <w:highlight w:val="none"/>
        </w:rPr>
      </w:r>
      <w:r/>
    </w:p>
    <w:p>
      <w:pPr>
        <w:pStyle w:val="1182"/>
        <w:ind w:firstLine="560"/>
        <w:keepLines w:val="0"/>
        <w:keepNext w:val="0"/>
        <w:pageBreakBefore w:val="0"/>
        <w:spacing w:line="560" w:lineRule="exact"/>
        <w:widowControl w:val="off"/>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在接到供应商以书面形式提出验收申请后，在5个工作日内及时组织相关专业技术人员，必要时邀请南通市教育技术中心、质检等部门共同参与验收，并出具验收报告，作为支付货款的依据。在验收过程因设备本身、调试等原因产生费用，所有费用由供应方负责。</w:t>
      </w:r>
      <w:r>
        <w:rPr>
          <w:highlight w:val="none"/>
        </w:rPr>
      </w:r>
      <w:r/>
    </w:p>
    <w:p>
      <w:pPr>
        <w:pStyle w:val="1266"/>
        <w:ind w:firstLine="480"/>
        <w:jc w:val="both"/>
        <w:keepLines w:val="0"/>
        <w:keepNext w:val="0"/>
        <w:pageBreakBefore w:val="0"/>
        <w:spacing w:line="56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验收时，未按照要求提供相关证明材料的，视为验收不合格；整改期限前仍不能完成整改的，视为投标人无履约能力，采购人有权终止合同，一切责任由投标人承担。</w:t>
      </w:r>
      <w:r>
        <w:rPr>
          <w:highlight w:val="none"/>
        </w:rPr>
      </w:r>
      <w:r/>
    </w:p>
    <w:p>
      <w:pPr>
        <w:keepLines w:val="0"/>
        <w:keepNext w:val="0"/>
        <w:pageBreakBefore w:val="0"/>
        <w:spacing w:line="360" w:lineRule="auto"/>
        <w:widowControl w:val="off"/>
        <w:tabs>
          <w:tab w:val="left" w:pos="0" w:leader="none"/>
        </w:tabs>
        <w:rPr>
          <w:rFonts w:hint="eastAsia" w:ascii="宋体" w:hAnsi="宋体" w:eastAsia="宋体" w:cs="Courier New"/>
          <w:b/>
          <w:bCs/>
          <w:color w:val="000000" w:themeColor="text1"/>
          <w:sz w:val="28"/>
          <w:szCs w:val="28"/>
          <w:highlight w:val="none"/>
          <w14:textFill>
            <w14:solidFill>
              <w14:schemeClr w14:val="tx1"/>
            </w14:solidFill>
          </w14:textFill>
        </w:rPr>
      </w:pPr>
      <w:r>
        <w:rPr>
          <w:rFonts w:hint="eastAsia" w:ascii="宋体" w:hAnsi="宋体" w:eastAsia="宋体" w:cs="Courier New"/>
          <w:b/>
          <w:bCs/>
          <w:color w:val="000000" w:themeColor="text1"/>
          <w:sz w:val="28"/>
          <w:szCs w:val="28"/>
          <w:highlight w:val="none"/>
          <w:lang w:val="en-US" w:eastAsia="zh-CN" w:bidi="ar-SA"/>
          <w14:textFill>
            <w14:solidFill>
              <w14:schemeClr w14:val="tx1"/>
            </w14:solidFill>
          </w14:textFill>
        </w:rPr>
        <w:t xml:space="preserve">（六）采购标的其他技术、服务等要求</w:t>
      </w:r>
      <w:r>
        <w:rPr>
          <w:highlight w:val="none"/>
        </w:rPr>
      </w:r>
      <w:r/>
    </w:p>
    <w:p>
      <w:pPr>
        <w:contextualSpacing/>
        <w:keepLines w:val="0"/>
        <w:keepNext w:val="0"/>
        <w:pageBreakBefore w:val="0"/>
        <w:spacing w:line="360" w:lineRule="auto"/>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1.商品包装环保要求：应当按《关于印发〈商品包装政府采购需求标准（试行）〉、〈快递包装政府采购需求标准（试行）〉的通知》（财办库〔2020〕123号）文件执行。</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（1）商品包装层数不得超过 3 层，空隙率不大于 40%；</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（2）商品包装尽可能使用单一材质的包装材料，如因功能需求</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必须</w:t>
      </w:r>
      <w:r>
        <w:rPr>
          <w:rFonts w:hint="eastAsia" w:ascii="仿宋" w:hAnsi="仿宋" w:eastAsia="仿宋"/>
          <w:bCs/>
          <w:color w:val="000000" w:themeColor="text1"/>
          <w:sz w:val="28"/>
          <w:szCs w:val="28"/>
          <w:highlight w:val="none"/>
          <w14:textFill>
            <w14:solidFill>
              <w14:schemeClr w14:val="tx1"/>
            </w14:solidFill>
          </w14:textFill>
        </w:rPr>
        <w:t xml:space="preserve">使用不同材质，不同材质间应便于分离；</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（3）商品包装中铅、汞、镉、六价铬的总含量应不大于100mg/kg；</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（4）商品包装印刷使用的油墨中挥发性有机化合物(VOCs)含量应不大于 5%（以重量计）；</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（5）塑料材质商品包装上呈现的印刷颜色不得超过 6 色；</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（6）纸质商品包装应使用 75%以上的可再生纤维原料生产；</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（7）木质商品包装的原料应来源于可持续性森林。</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2.快递包装环保要求：</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（1）快递包装中重金属（铅、汞、镉、六价铬）总量应不大于 100mg/kg；</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（2）快递包装印刷使用的油墨中不应添加邻苯二甲酸酯，其挥发性有机化合物(VOCs)含量应不大于5%（以重量计）；</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（3）快递包装中使用纸基材的包装材料，纸基材中的有机氯的含量应不大于 150 mg/kg；</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（5）快递中使用的塑料包装袋不得使用聚氯乙烯作为原料，且原料应为单一材质制成，生物分解率大于60%；</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（6）快递中使用的充气类填充物不得使用聚氯乙烯作为 原料，且原料为单一材质制成，生物分解率大于60%；</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（7）快递中使用的集装袋应为单一材质制成，其重复使用次数应不小于 80 次；</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（8）快递中应使用幅宽不大于45mm 的生物降解胶带；</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（9）快递包装中不得使用溶剂型胶粘剂；</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（10）快递应使用电子面单；</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（11）直接使用商品包装作为快递包装的商品，其商品包装满足《商品包装政府采购需求标准（试行）》即可；</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（12）快递包装产品质量和封装方式应符合相关国家或行业标准技术指标要求。</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none"/>
        </w:rPr>
      </w:r>
      <w:r/>
    </w:p>
    <w:p>
      <w:pPr>
        <w:contextualSpacing/>
        <w:spacing w:line="360" w:lineRule="auto"/>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r/>
    </w:p>
    <w:p>
      <w:pPr>
        <w:keepLines w:val="0"/>
        <w:keepNext w:val="0"/>
        <w:pageBreakBefore w:val="0"/>
        <w:spacing w:line="520" w:lineRule="exact"/>
        <w:widowControl w:val="off"/>
        <w:tabs>
          <w:tab w:val="left" w:pos="0" w:leader="none"/>
        </w:tabs>
        <w:rPr>
          <w:rFonts w:hint="eastAsia"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14:textFill>
            <w14:solidFill>
              <w14:schemeClr w14:val="tx1"/>
            </w14:solidFill>
          </w14:textFill>
        </w:rPr>
        <w:t xml:space="preserve">（七）演示讲解</w:t>
      </w:r>
      <w:r>
        <w:rPr>
          <w:highlight w:val="none"/>
        </w:rPr>
      </w:r>
      <w:r/>
    </w:p>
    <w:p>
      <w:pPr>
        <w:jc w:val="left"/>
        <w:keepLines w:val="0"/>
        <w:keepNext w:val="0"/>
        <w:pageBreakBefore w:val="0"/>
        <w:spacing w:before="120" w:after="120" w:line="520" w:lineRule="exact"/>
        <w:widowControl w:val="off"/>
        <w:rPr>
          <w:rFonts w:hint="eastAsia" w:ascii="仿宋" w:hAnsi="仿宋" w:eastAsia="仿宋" w:cs="仿宋"/>
          <w:b w:val="0"/>
          <w:bCs w:val="0"/>
          <w:color w:val="000000" w:themeColor="text1"/>
          <w:sz w:val="28"/>
          <w:szCs w:val="28"/>
          <w:highlight w:val="none"/>
          <w14:textFill>
            <w14:solidFill>
              <w14:schemeClr w14:val="tx1"/>
            </w14:solidFill>
          </w14:textFill>
        </w:rP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桌面级六轴协作机器人，</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具体演示要求详见评分点的要求。</w:t>
      </w:r>
      <w:r>
        <w:rPr>
          <w:highlight w:val="none"/>
        </w:rPr>
      </w:r>
      <w:r/>
    </w:p>
    <w:p>
      <w:pPr>
        <w:jc w:val="left"/>
        <w:keepLines w:val="0"/>
        <w:keepNext w:val="0"/>
        <w:pageBreakBefore w:val="0"/>
        <w:spacing w:before="120" w:after="120" w:line="520" w:lineRule="exact"/>
        <w:widowControl w:val="off"/>
        <w:rPr>
          <w:rFonts w:ascii="宋体" w:hAnsi="宋体" w:cs="Courier New"/>
          <w:b/>
          <w:bCs/>
          <w:color w:val="000000" w:themeColor="text1"/>
          <w:sz w:val="28"/>
          <w:szCs w:val="28"/>
          <w:highlight w:val="none"/>
          <w14:textFill>
            <w14:solidFill>
              <w14:schemeClr w14:val="tx1"/>
            </w14:solidFill>
          </w14:textFill>
        </w:rPr>
      </w:pPr>
      <w:r>
        <w:rPr>
          <w:rFonts w:hint="eastAsia" w:ascii="宋体" w:hAnsi="宋体" w:cs="Courier New"/>
          <w:b/>
          <w:bCs/>
          <w:color w:val="000000" w:themeColor="text1"/>
          <w:sz w:val="28"/>
          <w:szCs w:val="28"/>
          <w:highlight w:val="none"/>
          <w14:textFill>
            <w14:solidFill>
              <w14:schemeClr w14:val="tx1"/>
            </w14:solidFill>
          </w14:textFill>
        </w:rPr>
        <w:t xml:space="preserve">（</w:t>
      </w:r>
      <w:r>
        <w:rPr>
          <w:rFonts w:hint="eastAsia" w:ascii="宋体" w:hAnsi="宋体" w:eastAsia="宋体" w:cs="Courier New"/>
          <w:b/>
          <w:bCs/>
          <w:color w:val="000000" w:themeColor="text1"/>
          <w:sz w:val="28"/>
          <w:szCs w:val="28"/>
          <w:highlight w:val="none"/>
          <w:lang w:val="en-US" w:eastAsia="zh-CN" w:bidi="ar-SA"/>
          <w14:textFill>
            <w14:solidFill>
              <w14:schemeClr w14:val="tx1"/>
            </w14:solidFill>
          </w14:textFill>
        </w:rPr>
        <w:t xml:space="preserve">八</w:t>
      </w:r>
      <w:r>
        <w:rPr>
          <w:rFonts w:hint="eastAsia" w:ascii="宋体" w:hAnsi="宋体" w:cs="Courier New"/>
          <w:b/>
          <w:bCs/>
          <w:color w:val="000000" w:themeColor="text1"/>
          <w:sz w:val="28"/>
          <w:szCs w:val="28"/>
          <w:highlight w:val="none"/>
          <w14:textFill>
            <w14:solidFill>
              <w14:schemeClr w14:val="tx1"/>
            </w14:solidFill>
          </w14:textFill>
        </w:rPr>
        <w:t xml:space="preserve">）采购标的中的核心产品</w:t>
      </w:r>
      <w:r>
        <w:rPr>
          <w:highlight w:val="none"/>
        </w:rPr>
      </w:r>
      <w:r/>
    </w:p>
    <w:p>
      <w:pPr>
        <w:jc w:val="both"/>
        <w:keepLines w:val="0"/>
        <w:keepNext w:val="0"/>
        <w:pageBreakBefore w:val="0"/>
        <w:spacing w:line="520" w:lineRule="exact"/>
        <w:widowControl w:val="off"/>
        <w:tabs>
          <w:tab w:val="left" w:pos="0" w:leader="none"/>
        </w:tabs>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桌面级六轴协作机器人。</w:t>
      </w:r>
      <w:r>
        <w:rPr>
          <w:highlight w:val="none"/>
        </w:rPr>
      </w:r>
      <w:r/>
    </w:p>
    <w:p>
      <w:pPr>
        <w:keepLines w:val="0"/>
        <w:keepNext w:val="0"/>
        <w:pageBreakBefore w:val="0"/>
        <w:spacing w:line="560" w:lineRule="exact"/>
        <w:widowControl w:val="off"/>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三、商务要求</w:t>
      </w:r>
      <w:r>
        <w:rPr>
          <w:highlight w:val="none"/>
        </w:rPr>
      </w:r>
      <w:r/>
    </w:p>
    <w:p>
      <w:pPr>
        <w:keepLines w:val="0"/>
        <w:keepNext w:val="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包括交付（实施）的时间（期限）和地点（范围），付款条件（进度和方法），包装和运输，售后服务，保险等：</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1.</w:t>
      </w:r>
      <w:r>
        <w:rPr>
          <w:rFonts w:hint="eastAsia" w:ascii="仿宋_GB2312" w:eastAsia="仿宋_GB2312"/>
          <w:color w:val="000000" w:themeColor="text1"/>
          <w:sz w:val="28"/>
          <w:szCs w:val="28"/>
          <w:highlight w:val="none"/>
          <w14:textFill>
            <w14:solidFill>
              <w14:schemeClr w14:val="tx1"/>
            </w14:solidFill>
          </w14:textFill>
        </w:rPr>
        <w:t xml:space="preserve">采购标的数量、采购项目交付或者实施的时间和地点</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（1）实施时间：合同签订后20</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个</w:t>
      </w:r>
      <w:r>
        <w:rPr>
          <w:rFonts w:hint="eastAsia" w:ascii="仿宋_GB2312" w:eastAsia="仿宋_GB2312"/>
          <w:color w:val="000000" w:themeColor="text1"/>
          <w:sz w:val="28"/>
          <w:szCs w:val="28"/>
          <w:highlight w:val="none"/>
          <w14:textFill>
            <w14:solidFill>
              <w14:schemeClr w14:val="tx1"/>
            </w14:solidFill>
          </w14:textFill>
        </w:rPr>
        <w:t xml:space="preserve">日历天内完成</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交付</w:t>
      </w:r>
      <w:r>
        <w:rPr>
          <w:rFonts w:hint="eastAsia" w:ascii="仿宋_GB2312" w:eastAsia="仿宋_GB2312"/>
          <w:color w:val="000000" w:themeColor="text1"/>
          <w:sz w:val="28"/>
          <w:szCs w:val="28"/>
          <w:highlight w:val="none"/>
          <w14:textFill>
            <w14:solidFill>
              <w14:schemeClr w14:val="tx1"/>
            </w14:solidFill>
          </w14:textFill>
        </w:rPr>
        <w:t xml:space="preserve">，并通过验收。</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（2）交付地点：</w:t>
      </w:r>
      <w:r>
        <w:rPr>
          <w:rFonts w:hint="eastAsia" w:ascii="宋体" w:hAnsi="宋体" w:eastAsia="仿宋" w:cs="仿宋"/>
          <w:bCs/>
          <w:color w:val="000000" w:themeColor="text1"/>
          <w:sz w:val="28"/>
          <w:szCs w:val="28"/>
          <w:highlight w:val="none"/>
          <w:lang w:val="en-US" w:eastAsia="zh-CN" w:bidi="ar-SA"/>
          <w14:textFill>
            <w14:solidFill>
              <w14:schemeClr w14:val="tx1"/>
            </w14:solidFill>
          </w14:textFill>
        </w:rPr>
        <w:t xml:space="preserve">采购人指定的安装地点</w:t>
      </w:r>
      <w:r>
        <w:rPr>
          <w:rFonts w:hint="eastAsia" w:ascii="仿宋_GB2312" w:eastAsia="仿宋_GB2312"/>
          <w:color w:val="000000" w:themeColor="text1"/>
          <w:sz w:val="28"/>
          <w:szCs w:val="28"/>
          <w:highlight w:val="none"/>
          <w14:textFill>
            <w14:solidFill>
              <w14:schemeClr w14:val="tx1"/>
            </w14:solidFill>
          </w14:textFill>
        </w:rPr>
        <w:t xml:space="preserve">。安装场地测试、设备安装调试，均按招标文件内要求执行。</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2.质保期要求：原厂保修不低于两年（以合同约定期限为准），时间自验收合格之日起算；</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3.售后服务要求：</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（1）在保修期内，如有损坏或质量不合格者，中标人应及时给予修复和更换，其修理和更换应免费。正常修理周期和修理期间需提供免费测试。</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（2）在保修期期满前一个月，中标人必须指派专业人员上门检测设备，确保设备的指标符合验收标准，如有问题应作为保修内容给予免费处理。</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（3）在保修期外，中标人为设备提供终身维修服务，维修问题出现时，按质保期内时限及要求提供维修服务，按市场最低价收取配件费，免收人工费。</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4.培训要求：采用现场操作培训和集中培训等形式使管理操作人员达到熟练操作、具备相当的系统管理操作水平，根据买方需求，中标人适时提供理论与实操培训服务。</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5.验收标准</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（1）招标文件技术规格书中明确的标准和技术要求；</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（2）与合同货物有关的最新版本的中华人民共和国国家/国际标准和部颁标准；</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（3）货物合格证书技术资料中的精度、质量要求；</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（4）供应商在澄清响应文件时作出的承诺，经采购单位确认后，将作为对货物的验收依据之一；</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（5）双方签订的合同技术附件所规定的条款。</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6.</w:t>
      </w:r>
      <w:r>
        <w:rPr>
          <w:rFonts w:hint="eastAsia" w:ascii="仿宋_GB2312" w:eastAsia="仿宋_GB2312"/>
          <w:color w:val="000000" w:themeColor="text1"/>
          <w:sz w:val="28"/>
          <w:szCs w:val="28"/>
          <w:highlight w:val="none"/>
          <w14:textFill>
            <w14:solidFill>
              <w14:schemeClr w14:val="tx1"/>
            </w14:solidFill>
          </w14:textFill>
        </w:rPr>
        <w:t xml:space="preserve">付款方式</w:t>
      </w:r>
      <w:r>
        <w:rPr>
          <w:highlight w:val="none"/>
        </w:rPr>
      </w:r>
      <w:r/>
    </w:p>
    <w:p>
      <w:pPr>
        <w:pStyle w:val="1266"/>
        <w:jc w:val="both"/>
        <w:keepLines w:val="0"/>
        <w:keepNext w:val="0"/>
        <w:pageBreakBefore w:val="0"/>
        <w:spacing w:line="56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（1）合同</w:t>
      </w:r>
      <w:r>
        <w:rPr>
          <w:rFonts w:hint="eastAsia" w:ascii="仿宋_GB2312" w:eastAsia="仿宋_GB2312"/>
          <w:color w:val="000000" w:themeColor="text1"/>
          <w:sz w:val="28"/>
          <w:szCs w:val="28"/>
          <w:highlight w:val="none"/>
          <w14:textFill>
            <w14:solidFill>
              <w14:schemeClr w14:val="tx1"/>
            </w14:solidFill>
          </w14:textFill>
        </w:rPr>
        <w:t xml:space="preserve">签订生效后一个月内，买方支付中标供应商合同总价的 30%预付款(乙方需先行提供同等金额的预付款保函，预付款保函须由中标供应商基本账户开户银行出具)</w:t>
      </w:r>
      <w:r>
        <w:rPr>
          <w:highlight w:val="none"/>
        </w:rPr>
      </w:r>
      <w:r/>
    </w:p>
    <w:p>
      <w:pPr>
        <w:pStyle w:val="1266"/>
        <w:jc w:val="both"/>
        <w:keepLines w:val="0"/>
        <w:keepNext w:val="0"/>
        <w:pageBreakBefore w:val="0"/>
        <w:spacing w:line="56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2</w:t>
      </w: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14:textFill>
            <w14:solidFill>
              <w14:schemeClr w14:val="tx1"/>
            </w14:solidFill>
          </w14:textFill>
        </w:rPr>
        <w:t xml:space="preserve">验收合格后付清合同总价。</w:t>
      </w:r>
      <w:r>
        <w:rPr>
          <w:highlight w:val="none"/>
        </w:rPr>
      </w:r>
      <w:r/>
    </w:p>
    <w:p>
      <w:pPr>
        <w:pStyle w:val="1266"/>
        <w:jc w:val="both"/>
        <w:keepLines w:val="0"/>
        <w:keepNext w:val="0"/>
        <w:pageBreakBefore w:val="0"/>
        <w:spacing w:line="560" w:lineRule="exact"/>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3</w:t>
      </w:r>
      <w:r>
        <w:rPr>
          <w:rFonts w:hint="eastAsia" w:ascii="仿宋_GB2312" w:eastAsia="仿宋_GB2312"/>
          <w:color w:val="000000" w:themeColor="text1"/>
          <w:sz w:val="28"/>
          <w:szCs w:val="28"/>
          <w:highlight w:val="none"/>
          <w:lang w:eastAsia="zh-CN"/>
          <w14:textFill>
            <w14:solidFill>
              <w14:schemeClr w14:val="tx1"/>
            </w14:solidFill>
          </w14:textFill>
        </w:rPr>
        <w:t xml:space="preserve">）</w:t>
      </w:r>
      <w:r>
        <w:rPr>
          <w:rFonts w:hint="eastAsia" w:ascii="仿宋_GB2312" w:eastAsia="仿宋_GB2312"/>
          <w:color w:val="000000" w:themeColor="text1"/>
          <w:sz w:val="28"/>
          <w:szCs w:val="28"/>
          <w:highlight w:val="none"/>
          <w14:textFill>
            <w14:solidFill>
              <w14:schemeClr w14:val="tx1"/>
            </w14:solidFill>
          </w14:textFill>
        </w:rPr>
        <w:t xml:space="preserve">在买方支付合同价款前，卖方应当先向甲方开具等额合法有效的发票;否则，买方有权拒绝或迟延支付相应款项，且不影响卖方继续履行本合同项下义务。</w:t>
      </w:r>
      <w:r>
        <w:rPr>
          <w:highlight w:val="none"/>
        </w:rPr>
      </w:r>
      <w:r/>
    </w:p>
    <w:p>
      <w:pPr>
        <w:keepLines w:val="0"/>
        <w:keepNext w:val="0"/>
        <w:pageBreakBefore w:val="0"/>
        <w:spacing w:line="560" w:lineRule="exact"/>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lang w:val="en-US" w:eastAsia="zh-CN"/>
          <w14:textFill>
            <w14:solidFill>
              <w14:schemeClr w14:val="tx1"/>
            </w14:solidFill>
          </w14:textFill>
        </w:rPr>
        <w:t xml:space="preserve">7.</w:t>
      </w:r>
      <w:r>
        <w:rPr>
          <w:rFonts w:hint="eastAsia" w:ascii="仿宋_GB2312" w:eastAsia="仿宋_GB2312"/>
          <w:color w:val="000000" w:themeColor="text1"/>
          <w:sz w:val="28"/>
          <w:szCs w:val="28"/>
          <w:highlight w:val="none"/>
          <w14:textFill>
            <w14:solidFill>
              <w14:schemeClr w14:val="tx1"/>
            </w14:solidFill>
          </w14:textFill>
        </w:rPr>
        <w:t xml:space="preserve">履约保证金</w:t>
      </w:r>
      <w:r>
        <w:rPr>
          <w:highlight w:val="none"/>
        </w:rPr>
      </w:r>
      <w:r/>
    </w:p>
    <w:p>
      <w:pPr>
        <w:keepLines w:val="0"/>
        <w:keepNext w:val="0"/>
        <w:pageBreakBefore w:val="0"/>
        <w:spacing w:line="56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eastAsia="仿宋_GB2312" w:cs="Times New Roman"/>
          <w:color w:val="000000" w:themeColor="text1"/>
          <w:sz w:val="28"/>
          <w:szCs w:val="28"/>
          <w:highlight w:val="none"/>
          <w:lang w:val="en-US" w:eastAsia="zh-CN"/>
          <w14:textFill>
            <w14:solidFill>
              <w14:schemeClr w14:val="tx1"/>
            </w14:solidFill>
          </w14:textFill>
        </w:rPr>
        <w:t xml:space="preserve">（1）</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本项目成交后的</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履约保证金为项目成交价的</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10</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仿宋_GB2312" w:eastAsia="仿宋_GB2312" w:cs="Times New Roman"/>
          <w:color w:val="000000" w:themeColor="text1"/>
          <w:sz w:val="28"/>
          <w:szCs w:val="28"/>
          <w:highlight w:val="none"/>
          <w:lang w:eastAsia="zh-CN"/>
          <w14:textFill>
            <w14:solidFill>
              <w14:schemeClr w14:val="tx1"/>
            </w14:solidFill>
          </w14:textFill>
        </w:rPr>
        <w:t xml:space="preserve">未</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协商，则视为自动放弃成交资格。</w:t>
      </w:r>
      <w:r>
        <w:rPr>
          <w:highlight w:val="none"/>
        </w:rPr>
      </w:r>
      <w:r/>
    </w:p>
    <w:p>
      <w:pPr>
        <w:keepLines w:val="0"/>
        <w:keepNext w:val="0"/>
        <w:pageBreakBefore w:val="0"/>
        <w:spacing w:line="560" w:lineRule="exact"/>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eastAsia="仿宋_GB2312" w:cs="Times New Roman"/>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成交供应商全部</w:t>
      </w:r>
      <w:r>
        <w:rPr>
          <w:rFonts w:hint="eastAsia" w:ascii="仿宋_GB2312" w:eastAsia="仿宋_GB2312" w:cs="Times New Roman"/>
          <w:color w:val="000000" w:themeColor="text1"/>
          <w:sz w:val="28"/>
          <w:szCs w:val="28"/>
          <w:highlight w:val="none"/>
          <w:lang w:eastAsia="zh-CN"/>
          <w14:textFill>
            <w14:solidFill>
              <w14:schemeClr w14:val="tx1"/>
            </w14:solidFill>
          </w14:textFill>
        </w:rPr>
        <w:t xml:space="preserve">履行合同</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义务，经采购单位验收合格无质量、进度等问题的，采购人在验收合格后一次性退还履约保证金；</w:t>
      </w:r>
      <w:r>
        <w:rPr>
          <w:highlight w:val="none"/>
        </w:rPr>
      </w:r>
      <w:r/>
    </w:p>
    <w:p>
      <w:pPr>
        <w:keepLines w:val="0"/>
        <w:keepNext w:val="0"/>
        <w:pageBreakBefore w:val="0"/>
        <w:spacing w:line="560" w:lineRule="exact"/>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eastAsia="仿宋_GB2312" w:cs="Times New Roman"/>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color w:val="000000" w:themeColor="text1"/>
          <w:sz w:val="28"/>
          <w:szCs w:val="28"/>
          <w:highlight w:val="none"/>
          <w14:textFill>
            <w14:solidFill>
              <w14:schemeClr w14:val="tx1"/>
            </w14:solidFill>
          </w14:textFill>
        </w:rPr>
        <w:t xml:space="preserve">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rPr>
          <w:highlight w:val="none"/>
        </w:rPr>
      </w:r>
      <w:r/>
    </w:p>
    <w:p>
      <w:pPr>
        <w:keepLines w:val="0"/>
        <w:keepNext w:val="0"/>
        <w:pageBreakBefore w:val="0"/>
        <w:spacing w:line="560" w:lineRule="exact"/>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（4</w:t>
      </w:r>
      <w:bookmarkStart w:id="211" w:name="_GoBack"/>
      <w:r>
        <w:rPr>
          <w:highlight w:val="none"/>
        </w:rPr>
      </w:r>
      <w:bookmarkEnd w:id="211"/>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以履约保函（保险）形式向采购人缴纳的，按照《关于在全省政府采购领域推行电子履约保函（保险）的通知》，登录江苏政府采购网，选择“保险保函”模块，进行相关操作。供应商</w:t>
      </w:r>
      <w:r>
        <w:rPr>
          <w:rFonts w:hint="eastAsia" w:ascii="仿宋_GB2312" w:eastAsia="仿宋_GB2312" w:cs="Times New Roman"/>
          <w:b/>
          <w:bCs/>
          <w:color w:val="000000" w:themeColor="text1"/>
          <w:sz w:val="28"/>
          <w:szCs w:val="28"/>
          <w:highlight w:val="none"/>
          <w:lang w:eastAsia="zh-CN"/>
          <w14:textFill>
            <w14:solidFill>
              <w14:schemeClr w14:val="tx1"/>
            </w14:solidFill>
          </w14:textFill>
        </w:rPr>
        <w:t xml:space="preserve">可登录</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江苏政府采购网“资料下载”栏目下载“政府采购电子履约（保函）保险操作手册（网址：</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fldChar w:fldCharType="begin"/>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instrText xml:space="preserve"> HYPERLINK "http://www.ccgp-jiangsu.gov.cn/jisngsu/zlxz/)。" </w:instrTex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fldChar w:fldCharType="separate"/>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www.ccgp-jiangsu.gov.cn/jisngsu/zlxz/)。</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fldChar w:fldCharType="end"/>
      </w:r>
      <w:r>
        <w:rPr>
          <w:highlight w:val="none"/>
        </w:rPr>
      </w:r>
      <w:r/>
    </w:p>
    <w:p>
      <w:pPr>
        <w:spacing w:line="480" w:lineRule="exact"/>
        <w:rPr>
          <w:rFonts w:hint="eastAsia" w:ascii="宋体" w:hAnsi="宋体"/>
          <w:b/>
          <w:bCs/>
          <w:color w:val="000000" w:themeColor="text1"/>
          <w:sz w:val="28"/>
          <w:szCs w:val="28"/>
          <w:highlight w:val="none"/>
          <w14:textFill>
            <w14:solidFill>
              <w14:schemeClr w14:val="tx1"/>
            </w14:solidFill>
          </w14:textFill>
        </w:rPr>
      </w:pPr>
      <w:r>
        <w:rPr>
          <w:highlight w:val="none"/>
        </w:rPr>
      </w:r>
      <w:bookmarkStart w:id="202" w:name="_Toc171068954"/>
      <w:r>
        <w:rPr>
          <w:highlight w:val="none"/>
        </w:rPr>
      </w:r>
      <w:bookmarkStart w:id="203" w:name="_Toc120614281"/>
      <w:r>
        <w:rPr>
          <w:highlight w:val="none"/>
        </w:rPr>
      </w:r>
      <w:r/>
    </w:p>
    <w:p>
      <w:pPr>
        <w:spacing w:line="480" w:lineRule="exact"/>
        <w:rPr>
          <w:rFonts w:hint="eastAsia" w:ascii="宋体" w:hAnsi="宋体" w:eastAsia="宋体"/>
          <w:b/>
          <w:i/>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四、</w:t>
      </w:r>
      <w:r>
        <w:rPr>
          <w:rFonts w:hint="eastAsia" w:ascii="宋体" w:hAnsi="宋体"/>
          <w:b/>
          <w:i/>
          <w:color w:val="000000" w:themeColor="text1"/>
          <w:sz w:val="28"/>
          <w:szCs w:val="28"/>
          <w:highlight w:val="none"/>
          <w:u w:val="single"/>
          <w14:textFill>
            <w14:solidFill>
              <w14:schemeClr w14:val="tx1"/>
            </w14:solidFill>
          </w14:textFill>
        </w:rPr>
        <w:t xml:space="preserve">采购需求中必须满足的实质性要求</w:t>
      </w:r>
      <w:r>
        <w:rPr>
          <w:highlight w:val="none"/>
        </w:rPr>
      </w: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1.技术部分实质性要求</w:t>
      </w:r>
      <w:r>
        <w:rPr>
          <w:highlight w:val="none"/>
        </w:rPr>
      </w: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1.1项目需求中标注“★”为实质性响应参数，不接受负偏离，如出现负偏离视作无效响应。</w:t>
      </w:r>
      <w:r>
        <w:rPr>
          <w:highlight w:val="none"/>
        </w:rPr>
      </w: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注：标注“★”参数需在投标时提供设备技术参数要求中对应的相关证明材料，加盖投标单位公章，否则视为负偏离。</w:t>
      </w:r>
      <w:r>
        <w:rPr>
          <w:highlight w:val="none"/>
        </w:rPr>
      </w: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2.商务部分实质性响应要求：</w:t>
      </w:r>
      <w:r>
        <w:rPr>
          <w:highlight w:val="none"/>
        </w:rPr>
      </w: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2.1投标人应对所投项目的全部内容进行报价，只投其中部分内容者，视为无效投标。</w:t>
      </w:r>
      <w:r>
        <w:rPr>
          <w:highlight w:val="none"/>
        </w:rPr>
      </w:r>
      <w:r/>
    </w:p>
    <w:p>
      <w:pPr>
        <w:keepLines w:val="0"/>
        <w:keepNext w:val="0"/>
        <w:pageBreakBefore w:val="0"/>
        <w:spacing w:line="560" w:lineRule="exact"/>
        <w:widowControl w:val="off"/>
        <w:rPr>
          <w:rFonts w:hint="eastAsia" w:hAnsi="宋体" w:cs="宋体"/>
          <w:b/>
          <w:bCs/>
          <w:i/>
          <w:iCs/>
          <w:color w:val="000000" w:themeColor="text1"/>
          <w:sz w:val="28"/>
          <w:szCs w:val="28"/>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t xml:space="preserve">2.2本项目须在合同签订后20个日历天内完成验收交付，投标时须提供书面承诺函，加盖投标单位公章。格式自拟。</w:t>
      </w:r>
      <w:r>
        <w:rPr>
          <w:highlight w:val="none"/>
        </w:rPr>
      </w:r>
      <w:r/>
    </w:p>
    <w:p>
      <w:pPr>
        <w:keepLines w:val="0"/>
        <w:keepNext w:val="0"/>
        <w:pageBreakBefore w:val="0"/>
        <w:spacing w:line="560" w:lineRule="exact"/>
        <w:widowControl w:val="off"/>
        <w:rPr>
          <w:rFonts w:hint="eastAsia" w:hAnsi="宋体" w:cs="宋体"/>
          <w:b/>
          <w:bCs/>
          <w:i/>
          <w:iCs/>
          <w:color w:val="000000" w:themeColor="text1"/>
          <w:sz w:val="24"/>
          <w:szCs w:val="24"/>
          <w:highlight w:val="none"/>
          <w:u w:val="single"/>
          <w14:textFill>
            <w14:solidFill>
              <w14:schemeClr w14:val="tx1"/>
            </w14:solidFill>
          </w14:textFill>
        </w:rPr>
      </w:pPr>
      <w:r>
        <w:rPr>
          <w:rFonts w:hint="eastAsia" w:hAnsi="宋体" w:cs="宋体"/>
          <w:b/>
          <w:bCs/>
          <w:i/>
          <w:iCs/>
          <w:color w:val="000000" w:themeColor="text1"/>
          <w:sz w:val="28"/>
          <w:szCs w:val="28"/>
          <w:highlight w:val="none"/>
          <w:u w:val="single"/>
          <w:lang w:val="en-US" w:eastAsia="zh-CN"/>
          <w14:textFill>
            <w14:solidFill>
              <w14:schemeClr w14:val="tx1"/>
            </w14:solidFill>
          </w14:textFill>
        </w:rPr>
        <w:br w:type="page" w:clear="all"/>
      </w:r>
      <w:r>
        <w:rPr>
          <w:highlight w:val="none"/>
        </w:rPr>
      </w:r>
      <w:r/>
    </w:p>
    <w:p>
      <w:pPr>
        <w:pStyle w:val="995"/>
        <w:ind w:firstLine="600"/>
        <w:jc w:val="center"/>
        <w:rPr>
          <w:rFonts w:hint="eastAsia" w:ascii="黑体" w:eastAsia="黑体"/>
          <w:bCs/>
          <w:color w:val="000000" w:themeColor="text1"/>
          <w:sz w:val="44"/>
          <w:szCs w:val="2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bookmarkEnd w:id="202"/>
      <w:r>
        <w:rPr>
          <w:highlight w:val="none"/>
        </w:rPr>
      </w:r>
      <w:r/>
    </w:p>
    <w:p>
      <w:pPr>
        <w:ind w:firstLine="512"/>
        <w:jc w:val="left"/>
        <w:spacing w:before="120" w:after="120" w:line="480" w:lineRule="exact"/>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 xml:space="preserve">。本项目选取1名中标候选人。</w:t>
      </w:r>
      <w:r>
        <w:rPr>
          <w:highlight w:val="none"/>
        </w:rPr>
      </w:r>
      <w:r/>
    </w:p>
    <w:p>
      <w:pPr>
        <w:ind w:firstLine="514"/>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政府采购政策功能落实</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如果</w:t>
      </w:r>
      <w:r>
        <w:rPr>
          <w:rFonts w:hint="eastAsia" w:ascii="仿宋" w:hAnsi="仿宋" w:eastAsia="仿宋"/>
          <w:color w:val="000000" w:themeColor="text1"/>
          <w:sz w:val="28"/>
          <w:szCs w:val="28"/>
          <w:highlight w:val="none"/>
          <w14:textFill>
            <w14:solidFill>
              <w14:schemeClr w14:val="tx1"/>
            </w14:solidFill>
          </w14:textFill>
        </w:rPr>
        <w:t xml:space="preserve">该项目专门</w:t>
      </w:r>
      <w:r>
        <w:rPr>
          <w:rFonts w:ascii="仿宋" w:hAnsi="仿宋" w:eastAsia="仿宋"/>
          <w:color w:val="000000" w:themeColor="text1"/>
          <w:sz w:val="28"/>
          <w:szCs w:val="28"/>
          <w:highlight w:val="none"/>
          <w14:textFill>
            <w14:solidFill>
              <w14:schemeClr w14:val="tx1"/>
            </w14:solidFill>
          </w14:textFill>
        </w:rPr>
        <w:t xml:space="preserve">面向中小微</w:t>
      </w:r>
      <w:r>
        <w:rPr>
          <w:rFonts w:hint="eastAsia" w:ascii="仿宋" w:hAnsi="仿宋" w:eastAsia="仿宋"/>
          <w:color w:val="000000" w:themeColor="text1"/>
          <w:sz w:val="28"/>
          <w:szCs w:val="28"/>
          <w:highlight w:val="none"/>
          <w14:textFill>
            <w14:solidFill>
              <w14:schemeClr w14:val="tx1"/>
            </w14:solidFill>
          </w14:textFill>
        </w:rPr>
        <w:t xml:space="preserve">型企业</w:t>
      </w:r>
      <w:r>
        <w:rPr>
          <w:rFonts w:ascii="仿宋" w:hAnsi="仿宋" w:eastAsia="仿宋"/>
          <w:color w:val="000000" w:themeColor="text1"/>
          <w:sz w:val="28"/>
          <w:szCs w:val="28"/>
          <w:highlight w:val="none"/>
          <w14:textFill>
            <w14:solidFill>
              <w14:schemeClr w14:val="tx1"/>
            </w14:solidFill>
          </w14:textFill>
        </w:rPr>
        <w:t xml:space="preserve">采购，则</w:t>
      </w:r>
      <w:r>
        <w:rPr>
          <w:rFonts w:hint="eastAsia" w:ascii="仿宋" w:hAnsi="仿宋" w:eastAsia="仿宋"/>
          <w:color w:val="000000" w:themeColor="text1"/>
          <w:sz w:val="28"/>
          <w:szCs w:val="28"/>
          <w:highlight w:val="none"/>
          <w14:textFill>
            <w14:solidFill>
              <w14:schemeClr w14:val="tx1"/>
            </w14:solidFill>
          </w14:textFill>
        </w:rPr>
        <w:t xml:space="preserve">供应商不再</w:t>
      </w:r>
      <w:r>
        <w:rPr>
          <w:rFonts w:ascii="仿宋" w:hAnsi="仿宋" w:eastAsia="仿宋"/>
          <w:color w:val="000000" w:themeColor="text1"/>
          <w:sz w:val="28"/>
          <w:szCs w:val="28"/>
          <w:highlight w:val="none"/>
          <w14:textFill>
            <w14:solidFill>
              <w14:schemeClr w14:val="tx1"/>
            </w14:solidFill>
          </w14:textFill>
        </w:rPr>
        <w:t xml:space="preserve">享受任何价格扣除</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jc w:val="left"/>
        <w:spacing w:before="120" w:after="120"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小微型企业价格扣除</w:t>
      </w:r>
      <w:r>
        <w:rPr>
          <w:highlight w:val="none"/>
        </w:rPr>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rPr>
          <w:highlight w:val="none"/>
        </w:rPr>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（2）供应商需按照采购文件的要求提供相应的《小微企业声明函》。</w:t>
      </w:r>
      <w:r>
        <w:rPr>
          <w:highlight w:val="none"/>
        </w:rPr>
      </w: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）文件规定自行填写。</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残疾人福利单位价格扣除</w:t>
      </w:r>
      <w:r>
        <w:rPr>
          <w:highlight w:val="none"/>
        </w:rPr>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rPr>
          <w:highlight w:val="none"/>
        </w:rPr>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 xml:space="preserve">福利</w:t>
      </w:r>
      <w:r>
        <w:rPr>
          <w:rFonts w:hint="eastAsia" w:ascii="仿宋" w:hAnsi="仿宋" w:eastAsia="仿宋"/>
          <w:color w:val="000000" w:themeColor="text1"/>
          <w:sz w:val="28"/>
          <w:szCs w:val="28"/>
          <w:highlight w:val="none"/>
          <w14:textFill>
            <w14:solidFill>
              <w14:schemeClr w14:val="tx1"/>
            </w14:solidFill>
          </w14:textFill>
        </w:rPr>
        <w:t xml:space="preserve">单位声明函》。</w:t>
      </w:r>
      <w:r>
        <w:rPr>
          <w:highlight w:val="none"/>
        </w:rPr>
      </w: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监狱和戒毒企业价格扣除</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〔2014〕68号</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残疾人福利单位、监狱企业属于小型、微型企业的，不重复享受政策。</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联合体各方均为小型、微型企业（残疾人福利单位、监狱企业）的，联合体享受20%价格扣除，用扣除后的价格参与评审。</w:t>
      </w:r>
      <w:bookmarkEnd w:id="197"/>
      <w:r>
        <w:rPr>
          <w:highlight w:val="none"/>
        </w:rPr>
      </w:r>
      <w:bookmarkEnd w:id="198"/>
      <w:r>
        <w:rPr>
          <w:highlight w:val="none"/>
        </w:rPr>
      </w:r>
      <w:bookmarkEnd w:id="203"/>
      <w:r>
        <w:rPr>
          <w:highlight w:val="none"/>
        </w:rPr>
      </w:r>
      <w:r/>
    </w:p>
    <w:p>
      <w:pPr>
        <w:ind w:firstLine="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highlight w:val="none"/>
        </w:rPr>
      </w:r>
      <w:bookmarkStart w:id="204" w:name="_Hlt26671244"/>
      <w:r>
        <w:rPr>
          <w:highlight w:val="none"/>
        </w:rPr>
      </w:r>
      <w:bookmarkEnd w:id="204"/>
      <w:r>
        <w:rPr>
          <w:highlight w:val="none"/>
        </w:rPr>
      </w:r>
      <w:bookmarkStart w:id="205" w:name="_Hlt26955039"/>
      <w:r>
        <w:rPr>
          <w:highlight w:val="none"/>
        </w:rPr>
      </w:r>
      <w:bookmarkEnd w:id="205"/>
      <w:r>
        <w:rPr>
          <w:highlight w:val="none"/>
        </w:rPr>
      </w:r>
      <w:bookmarkStart w:id="206" w:name="_Toc49090576"/>
      <w:r>
        <w:rPr>
          <w:highlight w:val="none"/>
        </w:rPr>
      </w:r>
      <w:bookmarkStart w:id="207" w:name="_Toc120614282"/>
      <w:r>
        <w:rPr>
          <w:highlight w:val="none"/>
        </w:rPr>
      </w:r>
      <w:bookmarkStart w:id="208" w:name="_Toc26554094"/>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rPr>
          <w:highlight w:val="none"/>
        </w:rPr>
      </w:r>
      <w:r/>
    </w:p>
    <w:p>
      <w:pPr>
        <w:ind w:left="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rPr>
          <w:highlight w:val="none"/>
        </w:rPr>
      </w: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highlight w:val="none"/>
        </w:rPr>
      </w:r>
      <w:r/>
    </w:p>
    <w:p>
      <w:pPr>
        <w:pStyle w:val="995"/>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r/>
    </w:p>
    <w:p>
      <w:pPr>
        <w:pStyle w:val="995"/>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ind w:left="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ind w:left="562"/>
        <w:jc w:val="left"/>
        <w:spacing w:before="120" w:after="120" w:line="48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2.技术分：</w:t>
      </w:r>
      <w:r>
        <w:rPr>
          <w:rFonts w:hint="eastAsia" w:ascii="宋体" w:hAnsi="宋体"/>
          <w:b/>
          <w:color w:val="000000" w:themeColor="text1"/>
          <w:sz w:val="28"/>
          <w:szCs w:val="28"/>
          <w:highlight w:val="none"/>
          <w:lang w:val="en-US" w:eastAsia="zh-CN"/>
          <w14:textFill>
            <w14:solidFill>
              <w14:schemeClr w14:val="tx1"/>
            </w14:solidFill>
          </w14:textFill>
        </w:rPr>
        <w:t xml:space="preserve">28</w:t>
      </w:r>
      <w:r>
        <w:rPr>
          <w:rFonts w:hint="eastAsia" w:ascii="宋体" w:hAnsi="宋体"/>
          <w:b/>
          <w:color w:val="000000" w:themeColor="text1"/>
          <w:sz w:val="28"/>
          <w:szCs w:val="28"/>
          <w:highlight w:val="none"/>
          <w14:textFill>
            <w14:solidFill>
              <w14:schemeClr w14:val="tx1"/>
            </w14:solidFill>
          </w14:textFill>
        </w:rPr>
        <w:t xml:space="preserve">分</w:t>
      </w:r>
      <w:r>
        <w:rPr>
          <w:highlight w:val="none"/>
        </w:rPr>
      </w:r>
      <w:r/>
    </w:p>
    <w:p>
      <w:pPr>
        <w:pStyle w:val="1182"/>
        <w:tabs>
          <w:tab w:val="left" w:pos="0" w:leader="none"/>
        </w:tabs>
        <w:rPr>
          <w:rFonts w:hAnsi="宋体"/>
          <w:color w:val="000000" w:themeColor="text1"/>
          <w:highlight w:val="none"/>
          <w14:textFill>
            <w14:solidFill>
              <w14:schemeClr w14:val="tx1"/>
            </w14:solidFill>
          </w14:textFill>
        </w:rPr>
      </w:pPr>
      <w:r>
        <w:rPr>
          <w:rFonts w:hAnsi="宋体"/>
          <w:color w:val="000000" w:themeColor="text1"/>
          <w:highlight w:val="none"/>
          <w14:textFill>
            <w14:solidFill>
              <w14:schemeClr w14:val="tx1"/>
            </w14:solidFill>
          </w14:textFill>
        </w:rPr>
      </w:r>
      <w:r>
        <w:rPr>
          <w:highlight w:val="none"/>
        </w:rPr>
      </w:r>
      <w:r/>
    </w:p>
    <w:tbl>
      <w:tblPr>
        <w:tblStyle w:val="943"/>
        <w:tblW w:w="9588" w:type="dxa"/>
        <w:tblInd w:w="-216" w:type="dxa"/>
        <w:tblLayout w:type="fixed"/>
        <w:tblCellMar>
          <w:left w:w="108" w:type="dxa"/>
          <w:top w:w="0" w:type="dxa"/>
          <w:right w:w="108" w:type="dxa"/>
          <w:bottom w:w="0" w:type="dxa"/>
        </w:tblCellMar>
        <w:tblLook w:val="04A0" w:firstRow="1" w:lastRow="0" w:firstColumn="1" w:lastColumn="0" w:noHBand="0" w:noVBand="1"/>
      </w:tblPr>
      <w:tblGrid>
        <w:gridCol w:w="756"/>
        <w:gridCol w:w="1053"/>
        <w:gridCol w:w="591"/>
        <w:gridCol w:w="4200"/>
        <w:gridCol w:w="1021"/>
        <w:gridCol w:w="971"/>
        <w:gridCol w:w="996"/>
      </w:tblGrid>
      <w:tr>
        <w:trPr>
          <w:trHeight w:val="27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评分点名称</w:t>
            </w:r>
            <w:r>
              <w:rPr>
                <w:highlight w:val="none"/>
              </w:rPr>
            </w: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分值</w:t>
            </w:r>
            <w:r>
              <w:rPr>
                <w:highlight w:val="none"/>
              </w:rPr>
            </w:r>
            <w:r/>
          </w:p>
        </w:tc>
        <w:tc>
          <w:tcPr>
            <w:tcBorders>
              <w:top w:val="single" w:color="000000" w:sz="4" w:space="0"/>
              <w:left w:val="none" w:color="000000" w:sz="4" w:space="0"/>
              <w:bottom w:val="single" w:color="000000" w:sz="4" w:space="0"/>
              <w:right w:val="single" w:color="000000" w:sz="4" w:space="0"/>
            </w:tcBorders>
            <w:tcW w:w="4200"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评审标准</w:t>
            </w:r>
            <w:r>
              <w:rPr>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最高分</w:t>
            </w:r>
            <w:r>
              <w:rPr>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最低分</w:t>
            </w:r>
            <w:r>
              <w:rPr>
                <w:highlight w:val="none"/>
              </w:rPr>
            </w: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val="false"/>
          </w:tcPr>
          <w:p>
            <w:pPr>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主</w:t>
            </w:r>
            <w:r>
              <w:rPr>
                <w:rFonts w:hint="eastAsia" w:ascii="宋体" w:hAnsi="宋体" w:eastAsia="宋体" w:cs="仿宋"/>
                <w:b/>
                <w:bCs/>
                <w:color w:val="000000" w:themeColor="text1"/>
                <w:sz w:val="20"/>
                <w:szCs w:val="20"/>
                <w:highlight w:val="none"/>
                <w:lang w:val="en-US" w:eastAsia="zh-CN" w:bidi="ar-SA"/>
                <w14:textFill>
                  <w14:solidFill>
                    <w14:schemeClr w14:val="tx1"/>
                  </w14:solidFill>
                </w14:textFill>
              </w:rPr>
              <w:t xml:space="preserve">/客观</w:t>
            </w:r>
            <w:r>
              <w:rPr>
                <w:highlight w:val="none"/>
              </w:rPr>
            </w:r>
            <w:r/>
          </w:p>
        </w:tc>
      </w:tr>
      <w:tr>
        <w:trPr>
          <w:trHeight w:val="120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firstLine="0"/>
              <w:jc w:val="both"/>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技术响应</w:t>
            </w:r>
            <w:r>
              <w:rPr>
                <w:highlight w:val="none"/>
              </w:rPr>
            </w: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ind w:left="0" w:firstLine="0"/>
              <w:jc w:val="both"/>
              <w:keepLines w:val="0"/>
              <w:keepNext w:val="0"/>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rPr>
                <w:highlight w:val="none"/>
              </w:rPr>
            </w:r>
            <w:r/>
          </w:p>
        </w:tc>
        <w:tc>
          <w:tcPr>
            <w:tcBorders>
              <w:top w:val="single" w:color="000000" w:sz="4" w:space="0"/>
              <w:left w:val="none" w:color="000000" w:sz="4" w:space="0"/>
              <w:bottom w:val="single" w:color="000000" w:sz="4" w:space="0"/>
              <w:right w:val="single" w:color="000000" w:sz="4" w:space="0"/>
            </w:tcBorders>
            <w:tcW w:w="4200" w:type="dxa"/>
            <w:vAlign w:val="center"/>
            <w:textDirection w:val="lrTb"/>
            <w:noWrap w:val="false"/>
          </w:tcPr>
          <w:p>
            <w:pPr>
              <w:jc w:val="left"/>
              <w:widowControl/>
              <w:rPr>
                <w:rFonts w:hint="eastAsia" w:ascii="宋体" w:hAnsi="宋体" w:eastAsia="宋体" w:cs="Times New Roman"/>
                <w:color w:val="000000" w:themeColor="text1"/>
                <w:sz w:val="20"/>
                <w:szCs w:val="20"/>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项目需求中标注“▲”为重要技术要求，如有负偏离或未响应，每有一项扣2分，扣完为止。</w:t>
            </w:r>
            <w:r>
              <w:rPr>
                <w:highlight w:val="none"/>
              </w:rPr>
            </w:r>
            <w:r/>
          </w:p>
          <w:p>
            <w:pPr>
              <w:jc w:val="left"/>
              <w:widowControl/>
              <w:rPr>
                <w:rFonts w:hint="eastAsia" w:ascii="宋体" w:hAnsi="宋体" w:eastAsia="宋体" w:cs="Times New Roman"/>
                <w:color w:val="000000" w:themeColor="text1"/>
                <w:sz w:val="20"/>
                <w:szCs w:val="20"/>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注：标注“▲”项参数需在投标时提供设备技术参数要求中对应的相关证明材料（包括检测报告、技术文档、软件著作权登记证书、功能截图、课程目录、产品彩页），并加盖投标单位公章，否则视为负偏离。</w:t>
            </w:r>
            <w:r>
              <w:rPr>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18</w:t>
            </w:r>
            <w:r>
              <w:rPr>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val="false"/>
          </w:tcPr>
          <w:p>
            <w:pPr>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r/>
          </w:p>
        </w:tc>
      </w:tr>
      <w:tr>
        <w:trPr>
          <w:trHeight w:val="120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产品演示</w:t>
            </w:r>
            <w:r>
              <w:rPr>
                <w:rFonts w:hint="eastAsia" w:ascii="宋体" w:hAnsi="宋体" w:eastAsia="宋体" w:cs="宋体"/>
                <w:color w:val="000000" w:themeColor="text1"/>
                <w:sz w:val="20"/>
                <w:szCs w:val="20"/>
                <w:highlight w:val="none"/>
                <w:lang w:bidi="ar"/>
                <w14:textFill>
                  <w14:solidFill>
                    <w14:schemeClr w14:val="tx1"/>
                  </w14:solidFill>
                </w14:textFill>
              </w:rPr>
              <w:t xml:space="preserve">（桌面级六轴协作机器人）</w:t>
            </w:r>
            <w:r>
              <w:rPr>
                <w:highlight w:val="none"/>
              </w:rPr>
            </w:r>
            <w:r/>
          </w:p>
        </w:tc>
        <w:tc>
          <w:tcPr>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rPr>
                <w:highlight w:val="none"/>
              </w:rPr>
            </w:r>
            <w:r/>
          </w:p>
        </w:tc>
        <w:tc>
          <w:tcPr>
            <w:tcBorders>
              <w:top w:val="single" w:color="000000" w:sz="4" w:space="0"/>
              <w:left w:val="none" w:color="000000" w:sz="4" w:space="0"/>
              <w:bottom w:val="single" w:color="000000" w:sz="4" w:space="0"/>
              <w:right w:val="single" w:color="000000" w:sz="4" w:space="0"/>
            </w:tcBorders>
            <w:tcW w:w="4200"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须提供以下产品功能演示视频，总时长不超过10分钟（超过10分钟的，仅根据视频前10分钟所演示内容评分），视频文件直接上传至系统。2分/项，完全满足得分，部分满足或不满足或不演示均不得分。如因演示内容混乱，画面不清晰,无法打开等原因造成无法判定是否真实响应，责任自负。具体演示内容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1.内置操作系统功能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产品采用一体式高度集成设计，开箱后仅需连接电源和显示屏即可使用。机械臂内置集成操作系统，无需额外连接电脑，即可通过其自身系统完成各关节的单独控制及坐标移动任务。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2.可视化操作功能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用户可通过可视化模块编程软件实时查看J1/J2/J3/J4/J5/J6各关节角度及X/Y/Z/RX/RY/RZ坐标信息。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3.手动拖动示教功能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按住末端RGB矩阵灯即可进入拖动示教模式，快速记录轨迹并复现轨迹，无需复杂配置。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4.手势互动识别功能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操作者在摄像头前做出预定义的手势（如“握拳”让机械臂夹取、“手掌张开”让机械臂放下、“向左挥手”让机械臂向左移动）。机械臂会实时识别这些手势动作并做出相应的运动响应。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 5.多种核心算法可视化功能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内置直观的视觉算法可视化软件操作界面，涵盖多种视觉算法，颜色识别、物体识别、二维码识别、垃圾分类检测、ARUCO码识别与定位、OCR文字识别提取等应用场景。用户正确放置识别物品，通过界面一键点击使机械臂自主抓取并正确分拣至指定位置，并反馈出物品坐标信息。</w:t>
            </w:r>
            <w:r>
              <w:rPr>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10</w:t>
            </w:r>
            <w:r>
              <w:rPr>
                <w:highlight w:val="none"/>
              </w:rPr>
            </w:r>
            <w:r/>
          </w:p>
        </w:tc>
        <w:tc>
          <w:tcPr>
            <w:tcBorders>
              <w:top w:val="single" w:color="000000" w:sz="4" w:space="0"/>
              <w:left w:val="none" w:color="000000" w:sz="4" w:space="0"/>
              <w:bottom w:val="single" w:color="000000" w:sz="4" w:space="0"/>
              <w:right w:val="single" w:color="000000" w:sz="4" w:space="0"/>
            </w:tcBorders>
            <w:tcW w:w="971"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r/>
          </w:p>
        </w:tc>
        <w:tc>
          <w:tcPr>
            <w:tcBorders>
              <w:top w:val="single" w:color="000000" w:sz="4" w:space="0"/>
              <w:left w:val="none" w:color="000000" w:sz="4" w:space="0"/>
              <w:bottom w:val="single" w:color="000000" w:sz="4" w:space="0"/>
              <w:right w:val="single" w:color="000000" w:sz="4" w:space="0"/>
            </w:tcBorders>
            <w:tcW w:w="996" w:type="dxa"/>
            <w:vAlign w:val="center"/>
            <w:textDirection w:val="lrTb"/>
            <w:noWrap w:val="false"/>
          </w:tcPr>
          <w:p>
            <w:pPr>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r/>
          </w:p>
        </w:tc>
      </w:tr>
    </w:tbl>
    <w:p>
      <w:pPr>
        <w:ind w:left="562"/>
        <w:jc w:val="left"/>
        <w:spacing w:before="120" w:after="120" w:line="48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rPr>
          <w:highlight w:val="none"/>
        </w:rPr>
      </w:r>
      <w:r/>
    </w:p>
    <w:p>
      <w:pPr>
        <w:ind w:left="562"/>
        <w:jc w:val="left"/>
        <w:spacing w:before="120" w:after="120" w:line="480" w:lineRule="exact"/>
        <w:rPr>
          <w:rFonts w:ascii="宋体" w:hAnsi="宋体"/>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3.商务分：</w:t>
      </w:r>
      <w:r>
        <w:rPr>
          <w:rFonts w:hint="eastAsia" w:ascii="宋体" w:hAnsi="宋体"/>
          <w:b/>
          <w:color w:val="000000" w:themeColor="text1"/>
          <w:sz w:val="28"/>
          <w:szCs w:val="28"/>
          <w:highlight w:val="none"/>
          <w:lang w:val="en-US" w:eastAsia="zh-CN"/>
          <w14:textFill>
            <w14:solidFill>
              <w14:schemeClr w14:val="tx1"/>
            </w14:solidFill>
          </w14:textFill>
        </w:rPr>
        <w:t xml:space="preserve">22</w:t>
      </w:r>
      <w:r>
        <w:rPr>
          <w:rFonts w:hint="eastAsia" w:ascii="宋体" w:hAnsi="宋体"/>
          <w:b/>
          <w:color w:val="000000" w:themeColor="text1"/>
          <w:sz w:val="28"/>
          <w:szCs w:val="28"/>
          <w:highlight w:val="none"/>
          <w14:textFill>
            <w14:solidFill>
              <w14:schemeClr w14:val="tx1"/>
            </w14:solidFill>
          </w14:textFill>
        </w:rPr>
        <w:t xml:space="preserve">分</w:t>
      </w:r>
      <w:r>
        <w:rPr>
          <w:highlight w:val="none"/>
        </w:rPr>
      </w:r>
      <w:r/>
    </w:p>
    <w:tbl>
      <w:tblPr>
        <w:tblStyle w:val="943"/>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771"/>
        <w:gridCol w:w="1570"/>
        <w:gridCol w:w="771"/>
        <w:gridCol w:w="3809"/>
        <w:gridCol w:w="696"/>
        <w:gridCol w:w="696"/>
        <w:gridCol w:w="856"/>
      </w:tblGrid>
      <w:tr>
        <w:trPr>
          <w:jc w:val="center"/>
          <w:tblHead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评分点名称</w:t>
            </w:r>
            <w:r>
              <w:rPr>
                <w:highlight w:val="none"/>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分值</w:t>
            </w:r>
            <w:r>
              <w:rPr>
                <w:highlight w:val="none"/>
              </w:rPr>
            </w: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评审标准</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最高分</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最低分</w:t>
            </w:r>
            <w:r>
              <w:rPr>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lang w:val="en-US" w:eastAsia="zh-CN" w:bidi="ar-SA"/>
                <w14:textFill>
                  <w14:solidFill>
                    <w14:schemeClr w14:val="tx1"/>
                  </w14:solidFill>
                </w14:textFill>
              </w:rPr>
              <w:t xml:space="preserve">主</w:t>
            </w:r>
            <w:r>
              <w:rPr>
                <w:rFonts w:hint="eastAsia" w:ascii="宋体" w:hAnsi="宋体" w:eastAsia="宋体" w:cs="仿宋"/>
                <w:b/>
                <w:bCs/>
                <w:color w:val="000000" w:themeColor="text1"/>
                <w:sz w:val="20"/>
                <w:szCs w:val="20"/>
                <w:highlight w:val="none"/>
                <w:lang w:val="en-US" w:eastAsia="zh-CN" w:bidi="ar-SA"/>
                <w14:textFill>
                  <w14:solidFill>
                    <w14:schemeClr w14:val="tx1"/>
                  </w14:solidFill>
                </w14:textFill>
              </w:rPr>
              <w:t xml:space="preserve">/客观</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企业实力</w:t>
            </w:r>
            <w:r>
              <w:rPr>
                <w:highlight w:val="none"/>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投标人具有质量管理体系认证证书、信息安全管理体系认证证书、信息技术服务管理体系认证证书、环境管理体系认证证书、CCRC 信息安全服务资质认证证书(软件安全开发)，每提供一个证书得1分，本项最多得5分(提供扫描件并加盖投标单位公章)。</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Times New Roman"/>
                <w:color w:val="000000" w:themeColor="text1"/>
                <w:sz w:val="20"/>
                <w:szCs w:val="20"/>
                <w:highlight w:val="none"/>
                <w:lang w:val="en-US" w:eastAsia="zh-CN" w:bidi="ar-SA"/>
                <w14:textFill>
                  <w14:solidFill>
                    <w14:schemeClr w14:val="tx1"/>
                  </w14:solidFill>
                </w14:textFill>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highlight w:val="none"/>
              </w:rPr>
            </w:r>
            <w:bookmarkStart w:id="209" w:name="_Hlk202467375"/>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项目组人员配置情况</w:t>
            </w:r>
            <w:r>
              <w:rPr>
                <w:highlight w:val="none"/>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项目负责人具有：</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工业和信息化部教育与考试中心颁发的的AIGC开发与应用工程师（高级）认证证书；</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人力资源和社会保障部门或工业和信息化部颁发的计算机技术与软件专业技术（高级）资格证书（系统架构设计师）；</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高级软件工程师资格证书；</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每提供一个证书得1分，本项最高得3分。 </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项目组其他成员具有：</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人力资源和社会保障部门或工业和信息化部颁发的计算机技术与软件专业技术（高级）资格证书的，有一个证书得1分，本项最高得2分。                                                                                                                                                                              </w:t>
            </w:r>
            <w:r>
              <w:rPr>
                <w:highlight w:val="none"/>
              </w:rPr>
            </w:r>
            <w:r/>
          </w:p>
          <w:p>
            <w:pPr>
              <w:ind w:left="0" w:right="0" w:firstLine="0"/>
              <w:jc w:val="left"/>
              <w:keepLines w:val="0"/>
              <w:keepNext w:val="0"/>
              <w:spacing w:line="240" w:lineRule="auto"/>
              <w:widowControl/>
              <w:rPr>
                <w:rFonts w:hint="eastAsia" w:ascii="宋体" w:hAnsi="宋体" w:eastAsia="宋体" w:cs="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注：不提供不得分（须提供有效的资格证书及社保机构出具的投标人为其缴纳2025年2月-2025年9月中任意一个月的社会保险缴费清单复印件并加盖投标单位公章）。</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0</w:t>
            </w:r>
            <w:r>
              <w:rPr>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客观</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类似项目业绩</w:t>
            </w:r>
            <w:r>
              <w:rPr>
                <w:highlight w:val="none"/>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根据投标人2022年1月至今类似项目实施情况进行评分：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每提供一个有效业绩得2分，最高得4分。以销售合同、对应的部分发票（不低于合同总金额50%）这两项材料齐全为1份合格业绩进行评审。</w:t>
            </w:r>
            <w:r>
              <w:rPr>
                <w:highlight w:val="none"/>
              </w:rPr>
            </w:r>
            <w:r/>
          </w:p>
          <w:p>
            <w:pPr>
              <w:ind w:left="0" w:right="0" w:firstLine="0"/>
              <w:jc w:val="left"/>
              <w:keepLines w:val="0"/>
              <w:keepNext w:val="0"/>
              <w:spacing w:line="240" w:lineRule="auto"/>
              <w:widowControl/>
              <w:rPr>
                <w:rFonts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须提供销售合同、对应的部分发票，缺一不可（提供的项目合同复印件须清晰，且有双方签署页及合同签署双方的完整信息，无法清晰辨别的不得分）。</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客观</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实施方案</w:t>
            </w:r>
            <w:r>
              <w:rPr>
                <w:highlight w:val="none"/>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14:textFill>
                  <w14:solidFill>
                    <w14:schemeClr w14:val="tx1"/>
                  </w14:solidFill>
                </w14:textFill>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结合实际提供详细的实施方案，包含项目重难点及风险分析、项目实施计划、进度安排、人员调度、安装调试、顺利交接、合理化建议等内容。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方案具体、合理、稳妥、措施可靠，得</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分；</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方案较具体、较合理、有一定针对性，得</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分；</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方案内容有欠缺，针对性不足，得1分；</w:t>
            </w:r>
            <w:r>
              <w:rPr>
                <w:highlight w:val="none"/>
              </w:rPr>
            </w:r>
            <w:r/>
          </w:p>
          <w:p>
            <w:pPr>
              <w:ind w:left="0" w:right="0" w:firstLine="0"/>
              <w:jc w:val="left"/>
              <w:keepLines w:val="0"/>
              <w:keepNext w:val="0"/>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方案明显不合理或未提供，得0分。</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val="en-US" w:eastAsia="zh-CN" w:bidi="ar-SA"/>
                <w14:textFill>
                  <w14:solidFill>
                    <w14:schemeClr w14:val="tx1"/>
                  </w14:solidFill>
                </w14:textFill>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主观</w:t>
            </w:r>
            <w:bookmarkEnd w:id="209"/>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培训及售后服务方案</w:t>
            </w:r>
            <w:r>
              <w:rPr>
                <w:highlight w:val="none"/>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val="false"/>
          </w:tcPr>
          <w:p>
            <w:pPr>
              <w:ind w:left="0" w:right="0" w:firstLine="0"/>
              <w:jc w:val="center"/>
              <w:keepLines w:val="0"/>
              <w:keepNext w:val="0"/>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380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提供针对项目需求提供售后服务方案，包含售后服务体系、技术人员实力、售后服务承诺、售后服务应答及处理时间，售后服务范围、备品备件的承诺等方面。培训方案包括培训对象、培训计划、培训内容等方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type="textWrapping" w:clear="all"/>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方案具体、可实施性强、有针对性，得3分；</w:t>
            </w:r>
            <w:r>
              <w:rPr>
                <w:highlight w:val="none"/>
              </w:rPr>
            </w:r>
            <w:r/>
          </w:p>
          <w:p>
            <w:pPr>
              <w:ind w:left="0" w:right="0" w:firstLine="0"/>
              <w:jc w:val="left"/>
              <w:keepLines w:val="0"/>
              <w:keepNext w:val="0"/>
              <w:spacing w:line="240" w:lineRule="auto"/>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方案较具体，具备可实施性、有一定针对性，得2分；方案内容有欠缺、针对性不足，得1分；</w:t>
            </w:r>
            <w:r>
              <w:rPr>
                <w:highlight w:val="none"/>
              </w:rPr>
            </w:r>
            <w:r/>
          </w:p>
          <w:p>
            <w:pPr>
              <w:ind w:left="0" w:right="0" w:firstLine="0"/>
              <w:jc w:val="left"/>
              <w:keepLines w:val="0"/>
              <w:keepNext w:val="0"/>
              <w:spacing w:line="240" w:lineRule="auto"/>
              <w:widowControl/>
              <w:rPr>
                <w:rFonts w:hint="eastAsia" w:ascii="宋体" w:hAnsi="宋体" w:eastAsia="宋体" w:cs="宋体"/>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方案明显不合理或未提供，得0分。</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0</w:t>
            </w:r>
            <w:r>
              <w:rPr>
                <w:highlight w:val="none"/>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ind w:left="0" w:right="0" w:firstLine="0"/>
              <w:jc w:val="center"/>
              <w:widowControl/>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lang w:val="en-US" w:eastAsia="zh-CN" w:bidi="ar-SA"/>
                <w14:textFill>
                  <w14:solidFill>
                    <w14:schemeClr w14:val="tx1"/>
                  </w14:solidFill>
                </w14:textFill>
              </w:rPr>
              <w:t xml:space="preserve">客观</w:t>
            </w:r>
            <w:r>
              <w:rPr>
                <w:highlight w:val="none"/>
              </w:rPr>
            </w:r>
            <w:r/>
          </w:p>
        </w:tc>
      </w:tr>
    </w:tbl>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rPr>
          <w:highlight w:val="none"/>
        </w:rPr>
      </w:r>
      <w:r/>
    </w:p>
    <w:p>
      <w:pPr>
        <w:pStyle w:val="995"/>
        <w:ind w:firstLine="0"/>
        <w:jc w:val="center"/>
        <w:rPr>
          <w:rFonts w:hint="eastAsia" w:ascii="黑体" w:eastAsia="黑体"/>
          <w:bCs/>
          <w:color w:val="000000" w:themeColor="text1"/>
          <w:sz w:val="44"/>
          <w:szCs w:val="28"/>
          <w:highlight w:val="none"/>
          <w14:textFill>
            <w14:solidFill>
              <w14:schemeClr w14:val="tx1"/>
            </w14:solidFill>
          </w14:textFill>
        </w:rPr>
        <w:outlineLvl w:val="0"/>
      </w:pPr>
      <w:r>
        <w:rPr>
          <w:color w:val="000000" w:themeColor="text1"/>
          <w:highlight w:val="none"/>
          <w14:textFill>
            <w14:solidFill>
              <w14:schemeClr w14:val="tx1"/>
            </w14:solidFill>
          </w14:textFill>
        </w:rPr>
        <w:br w:type="page" w:clear="all"/>
      </w:r>
      <w:bookmarkStart w:id="210" w:name="_Toc171068955"/>
      <w:r>
        <w:rPr>
          <w:rFonts w:hint="eastAsia" w:ascii="黑体" w:eastAsia="黑体"/>
          <w:bCs/>
          <w:color w:val="000000" w:themeColor="text1"/>
          <w:sz w:val="44"/>
          <w:szCs w:val="28"/>
          <w:highlight w:val="none"/>
          <w14:textFill>
            <w14:solidFill>
              <w14:schemeClr w14:val="tx1"/>
            </w14:solidFill>
          </w14:textFill>
        </w:rPr>
        <w:t xml:space="preserve">第六章  投标文件格式</w:t>
      </w:r>
      <w:bookmarkEnd w:id="210"/>
      <w:r>
        <w:rPr>
          <w:highlight w:val="none"/>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rPr>
          <w:highlight w:val="none"/>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rPr>
          <w:highlight w:val="none"/>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rPr>
          <w:highlight w:val="none"/>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rPr>
          <w:highlight w:val="none"/>
        </w:rPr>
      </w: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一、基本目录</w:t>
      </w:r>
      <w:r>
        <w:rPr>
          <w:highlight w:val="none"/>
        </w:rPr>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开标一览表（格式见附件</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投标分项报价表（格式见</w:t>
      </w:r>
      <w:r>
        <w:rPr>
          <w:rFonts w:ascii="仿宋" w:hAnsi="仿宋" w:eastAsia="仿宋"/>
          <w:color w:val="000000" w:themeColor="text1"/>
          <w:sz w:val="28"/>
          <w:szCs w:val="28"/>
          <w:highlight w:val="none"/>
          <w14:textFill>
            <w14:solidFill>
              <w14:schemeClr w14:val="tx1"/>
            </w14:solidFill>
          </w14:textFill>
        </w:rPr>
        <w:t xml:space="preserve">附件2</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二</w:t>
      </w:r>
      <w:r>
        <w:rPr>
          <w:rFonts w:ascii="仿宋" w:hAnsi="仿宋" w:eastAsia="仿宋"/>
          <w:b/>
          <w:color w:val="000000" w:themeColor="text1"/>
          <w:sz w:val="28"/>
          <w:szCs w:val="28"/>
          <w:highlight w:val="none"/>
          <w14:textFill>
            <w14:solidFill>
              <w14:schemeClr w14:val="tx1"/>
            </w14:solidFill>
          </w14:textFill>
        </w:rPr>
        <w:t xml:space="preserve">、资格审查内容</w:t>
      </w:r>
      <w:r>
        <w:rPr>
          <w:highlight w:val="none"/>
        </w:rPr>
      </w: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投标人符合《政府采购法》第二十二条规定条件的声明函（格式见附件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pStyle w:val="1206"/>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 xml:space="preserve">做出特定资格要求的</w:t>
      </w:r>
      <w:r>
        <w:rPr>
          <w:rFonts w:hint="eastAsia" w:ascii="仿宋" w:hAnsi="仿宋" w:eastAsia="仿宋"/>
          <w:color w:val="000000" w:themeColor="text1"/>
          <w:sz w:val="28"/>
          <w:szCs w:val="28"/>
          <w:highlight w:val="none"/>
          <w14:textFill>
            <w14:solidFill>
              <w14:schemeClr w14:val="tx1"/>
            </w14:solidFill>
          </w14:textFill>
        </w:rPr>
        <w:t xml:space="preserve">，必须提供）</w:t>
      </w:r>
      <w:r>
        <w:rPr>
          <w:highlight w:val="none"/>
        </w:rPr>
      </w:r>
      <w:r/>
    </w:p>
    <w:p>
      <w:pPr>
        <w:pStyle w:val="1206"/>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3.法定代表人身份证明</w:t>
      </w:r>
      <w:r>
        <w:rPr>
          <w:rFonts w:ascii="仿宋" w:hAnsi="仿宋" w:eastAsia="仿宋"/>
          <w:color w:val="000000" w:themeColor="text1"/>
          <w:sz w:val="28"/>
          <w:szCs w:val="28"/>
          <w:highlight w:val="none"/>
          <w14:textFill>
            <w14:solidFill>
              <w14:schemeClr w14:val="tx1"/>
            </w14:solidFill>
          </w14:textFill>
        </w:rPr>
        <w:t xml:space="preserve">（格式</w:t>
      </w:r>
      <w:r>
        <w:rPr>
          <w:rFonts w:hint="eastAsia" w:ascii="仿宋" w:hAnsi="仿宋" w:eastAsia="仿宋"/>
          <w:color w:val="000000" w:themeColor="text1"/>
          <w:sz w:val="28"/>
          <w:szCs w:val="28"/>
          <w:highlight w:val="none"/>
          <w14:textFill>
            <w14:solidFill>
              <w14:schemeClr w14:val="tx1"/>
            </w14:solidFill>
          </w14:textFill>
        </w:rPr>
        <w:t xml:space="preserve">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ascii="仿宋" w:hAnsi="仿宋" w:eastAsia="仿宋"/>
          <w:color w:val="000000" w:themeColor="text1"/>
          <w:sz w:val="28"/>
          <w:szCs w:val="28"/>
          <w:highlight w:val="none"/>
          <w14:textFill>
            <w14:solidFill>
              <w14:schemeClr w14:val="tx1"/>
            </w14:solidFill>
          </w14:textFill>
        </w:rPr>
        <w:t xml:space="preserve">）</w:t>
      </w:r>
      <w:r>
        <w:rPr>
          <w:highlight w:val="none"/>
        </w:rPr>
      </w:r>
      <w:r/>
    </w:p>
    <w:p>
      <w:pPr>
        <w:pStyle w:val="1206"/>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4.提供有效的营业执照复印件加盖公章</w:t>
      </w:r>
      <w:r>
        <w:rPr>
          <w:highlight w:val="none"/>
        </w:rPr>
      </w:r>
      <w:r/>
    </w:p>
    <w:p>
      <w:pPr>
        <w:pStyle w:val="1206"/>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eastAsia="方正仿宋_GBK"/>
          <w:color w:val="000000" w:themeColor="text1"/>
          <w:sz w:val="28"/>
          <w:szCs w:val="28"/>
          <w:highlight w:val="none"/>
          <w:lang w:val="zh-CN"/>
          <w14:textFill>
            <w14:solidFill>
              <w14:schemeClr w14:val="tx1"/>
            </w14:solidFill>
          </w14:textFill>
        </w:rPr>
        <w:t xml:space="preserve">法定代表人授权委托书</w:t>
      </w:r>
      <w:r>
        <w:rPr>
          <w:rFonts w:hint="eastAsia" w:ascii="仿宋" w:hAnsi="仿宋" w:eastAsia="仿宋"/>
          <w:color w:val="000000" w:themeColor="text1"/>
          <w:sz w:val="28"/>
          <w:szCs w:val="28"/>
          <w:highlight w:val="none"/>
          <w14:textFill>
            <w14:solidFill>
              <w14:schemeClr w14:val="tx1"/>
            </w14:solidFill>
          </w14:textFill>
        </w:rPr>
        <w:t xml:space="preserve">（格式见附件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14:textFill>
            <w14:solidFill>
              <w14:schemeClr w14:val="tx1"/>
            </w14:solidFill>
          </w14:textFill>
        </w:rPr>
        <w:t xml:space="preserve">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left="0" w:right="0" w:firstLine="560"/>
        <w:jc w:val="both"/>
        <w:keepLines w:val="0"/>
        <w:keepNext w:val="0"/>
        <w:pageBreakBefore w:val="0"/>
        <w:spacing w:before="0" w:after="0" w:line="560" w:lineRule="exact"/>
        <w:widowControl w:val="o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7.中小微企业声明函（如果本项目专门面向中小微型企业采购，则必须提供。格式见附件10）</w:t>
      </w:r>
      <w:r>
        <w:rPr>
          <w:highlight w:val="none"/>
        </w:rPr>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8.残疾人福利性单位声明函（如果本项目专门面向中小微型企业采购，供应商为残疾人福利性单位并提供本单位制造的货物，或者提供其他残疾人福利性单位制造的货物，则必须提供。格式见附件11）</w:t>
      </w:r>
      <w:r>
        <w:rPr>
          <w:highlight w:val="none"/>
        </w:rPr>
      </w:r>
      <w:r/>
    </w:p>
    <w:p>
      <w:pPr>
        <w:ind w:left="0" w:right="0" w:firstLine="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备注：上述“资格审查内容”中1、3、4、6条投标人必须在投标文件中提供相关材料，否则作无效投标处理；2、5、7、8条如招标文件要求必须提供相关材料而未提供的，作无效投标处理。</w:t>
      </w:r>
      <w:r>
        <w:rPr>
          <w:highlight w:val="none"/>
        </w:rPr>
      </w:r>
      <w:r/>
    </w:p>
    <w:p>
      <w:pPr>
        <w:pStyle w:val="1206"/>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三</w:t>
      </w:r>
      <w:r>
        <w:rPr>
          <w:rFonts w:ascii="仿宋" w:hAnsi="仿宋" w:eastAsia="仿宋"/>
          <w:b/>
          <w:color w:val="000000" w:themeColor="text1"/>
          <w:sz w:val="28"/>
          <w:szCs w:val="28"/>
          <w:highlight w:val="none"/>
          <w14:textFill>
            <w14:solidFill>
              <w14:schemeClr w14:val="tx1"/>
            </w14:solidFill>
          </w14:textFill>
        </w:rPr>
        <w:t xml:space="preserve">、</w:t>
      </w:r>
      <w:r>
        <w:rPr>
          <w:rFonts w:hint="eastAsia" w:ascii="仿宋" w:hAnsi="仿宋" w:eastAsia="仿宋"/>
          <w:b/>
          <w:color w:val="000000" w:themeColor="text1"/>
          <w:sz w:val="28"/>
          <w:szCs w:val="28"/>
          <w:highlight w:val="none"/>
          <w14:textFill>
            <w14:solidFill>
              <w14:schemeClr w14:val="tx1"/>
            </w14:solidFill>
          </w14:textFill>
        </w:rPr>
        <w:t xml:space="preserve">符合性</w:t>
      </w:r>
      <w:r>
        <w:rPr>
          <w:rFonts w:ascii="仿宋" w:hAnsi="仿宋" w:eastAsia="仿宋"/>
          <w:b/>
          <w:color w:val="000000" w:themeColor="text1"/>
          <w:sz w:val="28"/>
          <w:szCs w:val="28"/>
          <w:highlight w:val="none"/>
          <w14:textFill>
            <w14:solidFill>
              <w14:schemeClr w14:val="tx1"/>
            </w14:solidFill>
          </w14:textFill>
        </w:rPr>
        <w:t xml:space="preserve">审查内容</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技术要求响应及偏离表（如有，格式见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商务要求响应及偏离表（如有，格式见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r/>
    </w:p>
    <w:p>
      <w:pPr>
        <w:ind w:firstLine="560"/>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3.投</w:t>
      </w:r>
      <w:r>
        <w:rPr>
          <w:rFonts w:hint="eastAsia" w:ascii="仿宋" w:hAnsi="仿宋" w:eastAsia="仿宋"/>
          <w:color w:val="000000" w:themeColor="text1"/>
          <w:sz w:val="28"/>
          <w:szCs w:val="28"/>
          <w:highlight w:val="none"/>
          <w14:textFill>
            <w14:solidFill>
              <w14:schemeClr w14:val="tx1"/>
            </w14:solidFill>
          </w14:textFill>
        </w:rPr>
        <w:t xml:space="preserve">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ascii="仿宋" w:hAnsi="仿宋" w:eastAsia="仿宋"/>
          <w:color w:val="000000" w:themeColor="text1"/>
          <w:sz w:val="28"/>
          <w:szCs w:val="28"/>
          <w:highlight w:val="none"/>
          <w14:textFill>
            <w14:solidFill>
              <w14:schemeClr w14:val="tx1"/>
            </w14:solidFill>
          </w14:textFill>
        </w:rPr>
        <w:t xml:space="preserve">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highlight w:val="none"/>
        </w:rPr>
      </w:r>
      <w:r/>
    </w:p>
    <w:p>
      <w:pPr>
        <w:ind w:left="0" w:right="0" w:firstLine="48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四、价格扣除证明文件</w:t>
      </w:r>
      <w:r>
        <w:rPr>
          <w:highlight w:val="none"/>
        </w:rPr>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1.中小微企业声明函（格式见附件10）</w:t>
      </w:r>
      <w:r>
        <w:rPr>
          <w:highlight w:val="none"/>
        </w:rPr>
      </w: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2.残疾人福利性单位声明函（格式见附件11）</w:t>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 </w:t>
      </w:r>
      <w:r>
        <w:rPr>
          <w:highlight w:val="none"/>
        </w:rPr>
      </w:r>
      <w:r/>
    </w:p>
    <w:p>
      <w:pPr>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开标一览表</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投标人全称（加盖CA电子签章）：</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项目编号：</w:t>
      </w:r>
      <w:r>
        <w:rPr>
          <w:highlight w:val="none"/>
        </w:rPr>
      </w: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分包号：</w:t>
      </w:r>
      <w:r>
        <w:rPr>
          <w:highlight w:val="none"/>
        </w:rPr>
      </w:r>
      <w:r/>
    </w:p>
    <w:tbl>
      <w:tblPr>
        <w:tblStyle w:val="9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w:t>
            </w:r>
            <w:r>
              <w:rPr>
                <w:highlight w:val="none"/>
              </w:rPr>
            </w: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小写：                             （人民币：元）</w:t>
            </w:r>
            <w:r>
              <w:rPr>
                <w:highlight w:val="none"/>
              </w:rPr>
            </w: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核心产品品牌</w:t>
            </w:r>
            <w:r>
              <w:rPr>
                <w:highlight w:val="none"/>
              </w:rPr>
            </w: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rPr>
                <w:highlight w:val="none"/>
              </w:rPr>
            </w:r>
            <w:r/>
          </w:p>
        </w:tc>
      </w:tr>
    </w:tbl>
    <w:p>
      <w:pPr>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pStyle w:val="990"/>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本附件格式仅作参考，投标人以苏采云平台实际情况进行填报。</w:t>
      </w:r>
      <w:r>
        <w:rPr>
          <w:highlight w:val="none"/>
        </w:rPr>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投标分项报价表</w:t>
      </w:r>
      <w:r>
        <w:rPr>
          <w:highlight w:val="none"/>
        </w:rPr>
      </w:r>
      <w:r/>
    </w:p>
    <w:tbl>
      <w:tblPr>
        <w:tblStyle w:val="943"/>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rPr>
                <w:highlight w:val="none"/>
              </w:rPr>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rPr>
                <w:highlight w:val="none"/>
              </w:rPr>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rPr>
                <w:highlight w:val="none"/>
              </w:rPr>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投标总报价（人民币：元）</w:t>
            </w:r>
            <w:r>
              <w:rPr>
                <w:highlight w:val="none"/>
              </w:rPr>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）国内运输保险、报关清关（如果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）、开证（如果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）、办理全套免税手续费用（如果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）及其他有关的为完成本项目发生的所有费用，招标文件中另有规定的除外。</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3.投标人需认真填写本报价表，尤其注意规格型号的准确填写。</w:t>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pStyle w:val="99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3</w:t>
      </w:r>
      <w:r>
        <w:rPr>
          <w:highlight w:val="none"/>
        </w:rPr>
      </w:r>
      <w:r/>
    </w:p>
    <w:p>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 xml:space="preserve">投标人符合《政府采购法》第二十二条规定条件的声明函</w:t>
      </w:r>
      <w:r>
        <w:rPr>
          <w:highlight w:val="none"/>
        </w:rPr>
      </w:r>
      <w:r/>
    </w:p>
    <w:p>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r>
        <w:rPr>
          <w:highlight w:val="none"/>
        </w:rPr>
      </w:r>
      <w:r/>
    </w:p>
    <w:p>
      <w:pPr>
        <w:ind w:firstLine="560"/>
        <w:spacing w:line="520" w:lineRule="exact"/>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我单位参加</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________________ _</w:t>
      </w:r>
      <w:r>
        <w:rPr>
          <w:rFonts w:hint="eastAsia" w:ascii="仿宋" w:hAnsi="仿宋" w:eastAsia="仿宋"/>
          <w:bCs/>
          <w:color w:val="000000" w:themeColor="text1"/>
          <w:sz w:val="28"/>
          <w:szCs w:val="21"/>
          <w:highlight w:val="none"/>
          <w14:textFill>
            <w14:solidFill>
              <w14:schemeClr w14:val="tx1"/>
            </w14:solidFill>
          </w14:textFill>
        </w:rPr>
        <w:t xml:space="preserve">（项目名称），</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 __________</w:t>
      </w:r>
      <w:r>
        <w:rPr>
          <w:rFonts w:hint="eastAsia" w:ascii="仿宋" w:hAnsi="仿宋" w:eastAsia="仿宋"/>
          <w:bCs/>
          <w:color w:val="000000" w:themeColor="text1"/>
          <w:sz w:val="28"/>
          <w:szCs w:val="21"/>
          <w:highlight w:val="none"/>
          <w14:textFill>
            <w14:solidFill>
              <w14:schemeClr w14:val="tx1"/>
            </w14:solidFill>
          </w14:textFill>
        </w:rPr>
        <w:t xml:space="preserve">（项目编号）投标活动。针对《中华人民共和国政府采购法》第二十二条规定做出如下声明：</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1.我单位具有独立承担民事责任的能力；</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2.我单位具有良好的商业信誉和健全的财务会计制度；</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3.我单位具有履行合同所必需的设备和专业技术能力；</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4.我单位有依法缴纳税收和社会保障资金的良好记录；</w:t>
      </w:r>
      <w:r>
        <w:rPr>
          <w:highlight w:val="none"/>
        </w:rPr>
      </w: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p>
    <w:p>
      <w:pPr>
        <w:ind w:firstLine="482"/>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6.我单位满足法律、行政法规规定的其他条件。</w:t>
      </w:r>
      <w:r>
        <w:rPr>
          <w:highlight w:val="none"/>
        </w:rPr>
      </w:r>
      <w:r/>
    </w:p>
    <w:p>
      <w:pPr>
        <w:pStyle w:val="995"/>
        <w:ind w:firstLine="640"/>
        <w:rPr>
          <w:rFonts w:hint="eastAsia" w:ascii="仿宋" w:hAnsi="仿宋" w:eastAsia="仿宋"/>
          <w:color w:val="000000" w:themeColor="text1"/>
          <w:sz w:val="32"/>
          <w:highlight w:val="none"/>
          <w14:textFill>
            <w14:solidFill>
              <w14:schemeClr w14:val="tx1"/>
            </w14:solidFill>
          </w14:textFill>
        </w:rPr>
      </w:pPr>
      <w:r>
        <w:rPr>
          <w:rFonts w:hint="eastAsia" w:ascii="仿宋" w:hAnsi="仿宋" w:eastAsia="仿宋"/>
          <w:color w:val="000000" w:themeColor="text1"/>
          <w:sz w:val="32"/>
          <w:highlight w:val="none"/>
          <w14:textFill>
            <w14:solidFill>
              <w14:schemeClr w14:val="tx1"/>
            </w14:solidFill>
          </w14:textFill>
        </w:rPr>
      </w:r>
      <w:r>
        <w:rPr>
          <w:highlight w:val="none"/>
        </w:rPr>
      </w:r>
      <w:r/>
    </w:p>
    <w:p>
      <w:pPr>
        <w:jc w:val="center"/>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r>
        <w:rPr>
          <w:highlight w:val="none"/>
        </w:rPr>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r>
        <w:rPr>
          <w:highlight w:val="none"/>
        </w:rPr>
      </w: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 xml:space="preserve">______</w:t>
      </w:r>
      <w:r>
        <w:rPr>
          <w:rFonts w:hint="eastAsia" w:ascii="仿宋" w:hAnsi="仿宋" w:eastAsia="仿宋"/>
          <w:bCs/>
          <w:color w:val="000000" w:themeColor="text1"/>
          <w:sz w:val="28"/>
          <w:szCs w:val="21"/>
          <w:highlight w:val="none"/>
          <w14:textFill>
            <w14:solidFill>
              <w14:schemeClr w14:val="tx1"/>
            </w14:solidFill>
          </w14:textFill>
        </w:rPr>
        <w:t xml:space="preserve">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日</w:t>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r/>
    </w:p>
    <w:p>
      <w:pPr>
        <w:pStyle w:val="995"/>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highlight w:val="none"/>
        </w:rPr>
      </w:r>
      <w:r/>
    </w:p>
    <w:p>
      <w:pPr>
        <w:pStyle w:val="995"/>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rPr>
          <w:highlight w:val="none"/>
        </w:rPr>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9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rPr>
          <w:highlight w:val="none"/>
        </w:rPr>
      </w:r>
      <w:r/>
    </w:p>
    <w:p>
      <w:pPr>
        <w:spacing w:line="480" w:lineRule="exact"/>
        <w:tabs>
          <w:tab w:val="left" w:pos="360" w:leader="none"/>
        </w:tabs>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rFonts w:ascii="仿宋" w:hAnsi="仿宋" w:eastAsia="仿宋"/>
          <w:b/>
          <w:color w:val="000000" w:themeColor="text1"/>
          <w:sz w:val="28"/>
          <w:szCs w:val="28"/>
          <w:highlight w:val="none"/>
          <w14:textFill>
            <w14:solidFill>
              <w14:schemeClr w14:val="tx1"/>
            </w14:solidFill>
          </w14:textFill>
        </w:rPr>
        <w:t xml:space="preserve">                      </w:t>
      </w:r>
      <w:r>
        <w:rPr>
          <w:highlight w:val="none"/>
        </w:rPr>
      </w:r>
      <w:r/>
    </w:p>
    <w:p>
      <w:pPr>
        <w:jc w:val="center"/>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投标函</w:t>
      </w:r>
      <w:r>
        <w:rPr>
          <w:highlight w:val="none"/>
        </w:rPr>
      </w:r>
      <w:r/>
    </w:p>
    <w:p>
      <w:pPr>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致：南通市教育技术中心</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根据贵方的JSZC-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号招标文件，正式授权下述签字人_____(姓名)代表我方_______（投标人的名称），全权处理本次项目投标的有关事宜。</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据此函，__________签字人兹宣布同意如下：</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1.按招标文件规定的各项要求，向买方提供所需货物（包含与货物相关的服务）。</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2.我们完全理解贵方不一定将合同授予最低报价的投标人。</w:t>
      </w:r>
      <w:r>
        <w:rPr>
          <w:highlight w:val="none"/>
        </w:rPr>
      </w: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3.我们已详细审核全部招标文件及其有效补充文件，我们知道必须放弃提出含糊不清或误解问题的权利。</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rPr>
          <w:highlight w:val="none"/>
        </w:rPr>
      </w: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.一旦我方中标,我方将根据招标文件的规定，严格履行合同的责任和义务,并保证在招标文件规定的时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间内</w:t>
      </w:r>
      <w:r>
        <w:rPr>
          <w:rFonts w:hint="eastAsia" w:ascii="仿宋" w:hAnsi="仿宋" w:eastAsia="仿宋"/>
          <w:color w:val="000000" w:themeColor="text1"/>
          <w:sz w:val="28"/>
          <w:szCs w:val="28"/>
          <w:highlight w:val="none"/>
          <w14:textFill>
            <w14:solidFill>
              <w14:schemeClr w14:val="tx1"/>
            </w14:solidFill>
          </w14:textFill>
        </w:rPr>
        <w:t xml:space="preserve">完成项目，交付买方验收、使用。</w:t>
      </w:r>
      <w:r>
        <w:rPr>
          <w:highlight w:val="none"/>
        </w:rPr>
      </w:r>
      <w:r/>
    </w:p>
    <w:p>
      <w:pPr>
        <w:ind w:left="425"/>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.与本投标有关的正式通讯地址为：</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          址：</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邮          编：</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电          话：</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传          真：</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投标人开户行：</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r>
        <w:rPr>
          <w:highlight w:val="none"/>
        </w:rPr>
      </w: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期：________年____月____日</w:t>
      </w:r>
      <w:r>
        <w:rPr>
          <w:highlight w:val="none"/>
        </w:rPr>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技术要求响应及偏离表（分包号：**）</w:t>
      </w:r>
      <w:r>
        <w:rPr>
          <w:highlight w:val="none"/>
        </w:rPr>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w:t>
            </w:r>
            <w:r>
              <w:rPr>
                <w:highlight w:val="none"/>
              </w:rPr>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对技术</w:t>
      </w:r>
      <w:r>
        <w:rPr>
          <w:rFonts w:hint="eastAsia" w:ascii="仿宋" w:hAnsi="仿宋" w:eastAsia="仿宋"/>
          <w:b/>
          <w:bCs/>
          <w:color w:val="000000" w:themeColor="text1"/>
          <w:sz w:val="28"/>
          <w:szCs w:val="28"/>
          <w:highlight w:val="none"/>
          <w14:textFill>
            <w14:solidFill>
              <w14:schemeClr w14:val="tx1"/>
            </w14:solidFill>
          </w14:textFill>
        </w:rPr>
        <w:t xml:space="preserve">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r/>
    </w:p>
    <w:p>
      <w:pPr>
        <w:pStyle w:val="995"/>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rPr>
          <w:highlight w:val="none"/>
        </w:rPr>
      </w: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商务要求响应及偏离表（分包号：**）</w:t>
      </w:r>
      <w:r>
        <w:rPr>
          <w:highlight w:val="none"/>
        </w:rPr>
      </w:r>
      <w:r/>
    </w:p>
    <w:tbl>
      <w:tblPr>
        <w:tblStyle w:val="9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商务要求</w:t>
            </w:r>
            <w:r>
              <w:rPr>
                <w:highlight w:val="none"/>
              </w:rPr>
            </w: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商务要求（未加斜体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r/>
    </w:p>
    <w:p>
      <w:pPr>
        <w:jc w:val="left"/>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实质性要求响应及偏离表（分包号：**）</w:t>
      </w:r>
      <w:r>
        <w:rPr>
          <w:highlight w:val="none"/>
        </w:rPr>
      </w:r>
      <w:r/>
    </w:p>
    <w:tbl>
      <w:tblPr>
        <w:tblStyle w:val="94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r/>
          </w:p>
        </w:tc>
        <w:tc>
          <w:tcPr>
            <w:tcW w:w="3609"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技术要求和商务要求中的实质性要求（加斜体下划线内容）</w:t>
            </w:r>
            <w:r>
              <w:rPr>
                <w:highlight w:val="none"/>
              </w:rPr>
            </w:r>
            <w:r/>
          </w:p>
        </w:tc>
        <w:tc>
          <w:tcPr>
            <w:tcW w:w="3317"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r/>
          </w:p>
        </w:tc>
        <w:tc>
          <w:tcPr>
            <w:tcW w:w="1526"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1.投标人必须对技术要求和商务要求中的实质性要求（加斜体下划线内容）逐条做出明确响应，否则作无效投标处理。</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2.如果招标文件要求提供证明材料，投标人必须将证明材料列于该表之下。</w:t>
      </w:r>
      <w:r>
        <w:rPr>
          <w:highlight w:val="none"/>
        </w:rPr>
      </w: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3.投标人未对实质性要求逐条作出明确响应的，或未按招标文件要求提供证明材料的，该分包作无效投标处理。</w:t>
      </w:r>
      <w:r>
        <w:rPr>
          <w:highlight w:val="none"/>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89"/>
      <w:r>
        <w:rPr>
          <w:highlight w:val="none"/>
        </w:rPr>
      </w:r>
      <w:bookmarkEnd w:id="190"/>
      <w:r>
        <w:rPr>
          <w:highlight w:val="none"/>
        </w:rPr>
      </w:r>
      <w:bookmarkEnd w:id="206"/>
      <w:r>
        <w:rPr>
          <w:highlight w:val="none"/>
        </w:rPr>
      </w:r>
      <w:bookmarkEnd w:id="207"/>
      <w:r>
        <w:rPr>
          <w:highlight w:val="none"/>
        </w:rPr>
      </w:r>
      <w:bookmarkEnd w:id="208"/>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10</w:t>
      </w:r>
      <w:r>
        <w:rPr>
          <w:highlight w:val="none"/>
        </w:rPr>
      </w:r>
      <w:r/>
    </w:p>
    <w:p>
      <w:pPr>
        <w:ind w:firstLine="281"/>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r/>
    </w:p>
    <w:p>
      <w:pPr>
        <w:ind w:firstLine="420"/>
        <w:spacing w:line="480" w:lineRule="exact"/>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spacing w:line="480" w:lineRule="exact"/>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r/>
    </w:p>
    <w:p>
      <w:pPr>
        <w:ind w:firstLine="42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r/>
    </w:p>
    <w:p>
      <w:pPr>
        <w:ind w:firstLine="42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r/>
    </w:p>
    <w:p>
      <w:pPr>
        <w:ind w:right="180" w:firstLine="420"/>
        <w:jc w:val="right"/>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r/>
    </w:p>
    <w:p>
      <w:pPr>
        <w:ind w:right="480" w:firstLine="630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rPr>
          <w:highlight w:val="none"/>
        </w:rPr>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2.专门</w:t>
      </w:r>
      <w:r>
        <w:rPr>
          <w:rFonts w:ascii="仿宋" w:hAnsi="仿宋" w:eastAsia="仿宋"/>
          <w:b/>
          <w:bCs/>
          <w:color w:val="000000" w:themeColor="text1"/>
          <w:sz w:val="28"/>
          <w:szCs w:val="28"/>
          <w:highlight w:val="none"/>
          <w14:textFill>
            <w14:solidFill>
              <w14:schemeClr w14:val="tx1"/>
            </w14:solidFill>
          </w14:textFill>
        </w:rPr>
        <w:t xml:space="preserve">面向中小微型企业</w:t>
      </w:r>
      <w:r>
        <w:rPr>
          <w:rFonts w:hint="eastAsia" w:ascii="仿宋" w:hAnsi="仿宋" w:eastAsia="仿宋"/>
          <w:b/>
          <w:bCs/>
          <w:color w:val="000000" w:themeColor="text1"/>
          <w:sz w:val="28"/>
          <w:szCs w:val="28"/>
          <w:highlight w:val="none"/>
          <w14:textFill>
            <w14:solidFill>
              <w14:schemeClr w14:val="tx1"/>
            </w14:solidFill>
          </w14:textFill>
        </w:rPr>
        <w:t xml:space="preserve">采购</w:t>
      </w:r>
      <w:r>
        <w:rPr>
          <w:rFonts w:ascii="仿宋" w:hAnsi="仿宋" w:eastAsia="仿宋"/>
          <w:b/>
          <w:bCs/>
          <w:color w:val="000000" w:themeColor="text1"/>
          <w:sz w:val="28"/>
          <w:szCs w:val="28"/>
          <w:highlight w:val="none"/>
          <w14:textFill>
            <w14:solidFill>
              <w14:schemeClr w14:val="tx1"/>
            </w14:solidFill>
          </w14:textFill>
        </w:rPr>
        <w:t xml:space="preserve">的项目，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供应商如不提供此声明函，则</w:t>
      </w:r>
      <w:r>
        <w:rPr>
          <w:rFonts w:ascii="仿宋" w:hAnsi="仿宋" w:eastAsia="仿宋"/>
          <w:b/>
          <w:bCs/>
          <w:color w:val="000000" w:themeColor="text1"/>
          <w:sz w:val="28"/>
          <w:szCs w:val="28"/>
          <w:highlight w:val="none"/>
          <w14:textFill>
            <w14:solidFill>
              <w14:schemeClr w14:val="tx1"/>
            </w14:solidFill>
          </w14:textFill>
        </w:rPr>
        <w:t xml:space="preserve">不能通过资格审查；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非专门</w:t>
      </w:r>
      <w:r>
        <w:rPr>
          <w:rFonts w:ascii="仿宋" w:hAnsi="仿宋" w:eastAsia="仿宋"/>
          <w:b/>
          <w:bCs/>
          <w:color w:val="000000" w:themeColor="text1"/>
          <w:sz w:val="28"/>
          <w:szCs w:val="28"/>
          <w:highlight w:val="none"/>
          <w14:textFill>
            <w14:solidFill>
              <w14:schemeClr w14:val="tx1"/>
            </w14:solidFill>
          </w14:textFill>
        </w:rPr>
        <w:t xml:space="preserve">面向中小微型企业</w:t>
      </w:r>
      <w:r>
        <w:rPr>
          <w:rFonts w:hint="eastAsia" w:ascii="仿宋" w:hAnsi="仿宋" w:eastAsia="仿宋"/>
          <w:b/>
          <w:bCs/>
          <w:color w:val="000000" w:themeColor="text1"/>
          <w:sz w:val="28"/>
          <w:szCs w:val="28"/>
          <w:highlight w:val="none"/>
          <w14:textFill>
            <w14:solidFill>
              <w14:schemeClr w14:val="tx1"/>
            </w14:solidFill>
          </w14:textFill>
        </w:rPr>
        <w:t xml:space="preserve">采购</w:t>
      </w:r>
      <w:r>
        <w:rPr>
          <w:rFonts w:ascii="仿宋" w:hAnsi="仿宋" w:eastAsia="仿宋"/>
          <w:b/>
          <w:bCs/>
          <w:color w:val="000000" w:themeColor="text1"/>
          <w:sz w:val="28"/>
          <w:szCs w:val="28"/>
          <w:highlight w:val="none"/>
          <w14:textFill>
            <w14:solidFill>
              <w14:schemeClr w14:val="tx1"/>
            </w14:solidFill>
          </w14:textFill>
        </w:rPr>
        <w:t xml:space="preserve">的项目，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r/>
    </w:p>
    <w:p>
      <w:pPr>
        <w:ind w:left="561"/>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3.供应商</w:t>
      </w:r>
      <w:r>
        <w:rPr>
          <w:rFonts w:ascii="仿宋" w:hAnsi="仿宋" w:eastAsia="仿宋"/>
          <w:b/>
          <w:bCs/>
          <w:color w:val="000000" w:themeColor="text1"/>
          <w:sz w:val="28"/>
          <w:szCs w:val="28"/>
          <w:highlight w:val="none"/>
          <w14:textFill>
            <w14:solidFill>
              <w14:schemeClr w14:val="tx1"/>
            </w14:solidFill>
          </w14:textFill>
        </w:rPr>
        <w:t xml:space="preserve">自行勾选</w:t>
      </w:r>
      <w:r>
        <w:rPr>
          <w:rFonts w:hint="eastAsia" w:ascii="仿宋" w:hAnsi="仿宋" w:eastAsia="仿宋"/>
          <w:b/>
          <w:bCs/>
          <w:color w:val="000000" w:themeColor="text1"/>
          <w:sz w:val="28"/>
          <w:szCs w:val="28"/>
          <w:highlight w:val="none"/>
          <w14:textFill>
            <w14:solidFill>
              <w14:schemeClr w14:val="tx1"/>
            </w14:solidFill>
          </w14:textFill>
        </w:rPr>
        <w:t xml:space="preserve">制造商</w:t>
      </w:r>
      <w:r>
        <w:rPr>
          <w:rFonts w:ascii="仿宋" w:hAnsi="仿宋" w:eastAsia="仿宋"/>
          <w:b/>
          <w:bCs/>
          <w:color w:val="000000" w:themeColor="text1"/>
          <w:sz w:val="28"/>
          <w:szCs w:val="28"/>
          <w:highlight w:val="none"/>
          <w14:textFill>
            <w14:solidFill>
              <w14:schemeClr w14:val="tx1"/>
            </w14:solidFill>
          </w14:textFill>
        </w:rPr>
        <w:t xml:space="preserve">的企业</w:t>
      </w:r>
      <w:r>
        <w:rPr>
          <w:rFonts w:hint="eastAsia" w:ascii="仿宋" w:hAnsi="仿宋" w:eastAsia="仿宋"/>
          <w:b/>
          <w:bCs/>
          <w:color w:val="000000" w:themeColor="text1"/>
          <w:sz w:val="28"/>
          <w:szCs w:val="28"/>
          <w:highlight w:val="none"/>
          <w14:textFill>
            <w14:solidFill>
              <w14:schemeClr w14:val="tx1"/>
            </w14:solidFill>
          </w14:textFill>
        </w:rPr>
        <w:t xml:space="preserve">规模类型</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rPr>
          <w:highlight w:val="none"/>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pStyle w:val="99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r/>
    </w:p>
    <w:p>
      <w:pPr>
        <w:ind w:right="1559" w:firstLine="560"/>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r/>
    </w:p>
    <w:p>
      <w:pPr>
        <w:pStyle w:val="995"/>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签字(签章)：                   公章：                      </w:t>
      </w:r>
      <w:r>
        <w:rPr>
          <w:highlight w:val="none"/>
        </w:rPr>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r/>
    </w:p>
    <w:sectPr>
      <w:footerReference w:type="default" r:id="rId16"/>
      <w:footerReference w:type="first" r:id="rId17"/>
      <w:footnotePr/>
      <w:endnotePr/>
      <w:type w:val="nextPage"/>
      <w:pgSz w:w="11906" w:h="16838" w:orient="portrait"/>
      <w:pgMar w:top="1418" w:right="1588" w:bottom="1418" w:left="1365" w:header="851" w:footer="907" w:gutter="0"/>
      <w:pgNumType w:start="2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1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4"/>
      </w:rPr>
      <w:framePr w:wrap="around" w:vAnchor="text" w:hAnchor="margin" w:xAlign="center" w:y="1"/>
    </w:pPr>
    <w:r>
      <w:fldChar w:fldCharType="begin"/>
    </w:r>
    <w:r>
      <w:rPr>
        <w:rStyle w:val="1214"/>
      </w:rPr>
      <w:instrText xml:space="preserve">PAGE  </w:instrText>
    </w:r>
    <w:r>
      <w:fldChar w:fldCharType="separate"/>
    </w:r>
    <w:r>
      <w:rPr>
        <w:rStyle w:val="1214"/>
      </w:rPr>
      <w:t xml:space="preserve">1</w:t>
    </w:r>
    <w:r>
      <w:fldChar w:fldCharType="end"/>
    </w:r>
    <w:r/>
  </w:p>
  <w:p>
    <w:pPr>
      <w:pStyle w:val="119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Pr>
        <w:rFonts w:hint="eastAsia"/>
      </w:rPr>
      <w:t xml:space="preserve">20</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59"/>
      <w:isLgl w:val="false"/>
      <w:suff w:val="nothing"/>
      <w:lvlText w:val=""/>
      <w:lvlJc w:val="left"/>
      <w:pPr>
        <w:ind w:left="0" w:firstLine="0"/>
      </w:pPr>
      <w:rPr>
        <w:rFonts w:hint="eastAsia"/>
      </w:rPr>
    </w:lvl>
    <w:lvl w:ilvl="6">
      <w:start w:val="1"/>
      <w:numFmt w:val="decimal"/>
      <w:pStyle w:val="1161"/>
      <w:isLgl w:val="false"/>
      <w:suff w:val="nothing"/>
      <w:lvlText w:val=""/>
      <w:lvlJc w:val="left"/>
      <w:pPr>
        <w:ind w:left="0" w:firstLine="0"/>
      </w:pPr>
      <w:rPr>
        <w:rFonts w:hint="eastAsia"/>
      </w:rPr>
    </w:lvl>
    <w:lvl w:ilvl="7">
      <w:start w:val="1"/>
      <w:numFmt w:val="decimal"/>
      <w:pStyle w:val="1163"/>
      <w:isLgl w:val="false"/>
      <w:suff w:val="nothing"/>
      <w:lvlText w:val=""/>
      <w:lvlJc w:val="left"/>
      <w:pPr>
        <w:ind w:left="0" w:firstLine="0"/>
      </w:pPr>
      <w:rPr>
        <w:rFonts w:hint="eastAsia"/>
      </w:rPr>
    </w:lvl>
    <w:lvl w:ilvl="8">
      <w:start w:val="1"/>
      <w:numFmt w:val="decimal"/>
      <w:pStyle w:val="1165"/>
      <w:isLgl w:val="false"/>
      <w:suff w:val="nothing"/>
      <w:lvlText w:val=""/>
      <w:lvlJc w:val="left"/>
      <w:pPr>
        <w:ind w:left="0" w:firstLine="0"/>
      </w:pPr>
      <w:rPr>
        <w:rFonts w:hint="eastAsia"/>
      </w:rPr>
    </w:lvl>
  </w:abstractNum>
  <w:abstractNum w:abstractNumId="5">
    <w:multiLevelType w:val="hybridMultilevel"/>
    <w:lvl w:ilvl="0">
      <w:start w:val="1"/>
      <w:numFmt w:val="chineseCounting"/>
      <w:pStyle w:val="965"/>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2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3">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link w:val="1265"/>
    <w:uiPriority w:val="0"/>
    <w:qFormat/>
    <w:pPr>
      <w:jc w:val="both"/>
      <w:widowControl w:val="off"/>
    </w:pPr>
    <w:rPr>
      <w:rFonts w:hint="default" w:ascii="Times New Roman" w:hAnsi="Times New Roman" w:eastAsia="宋体" w:cs="Times New Roman"/>
      <w:sz w:val="21"/>
      <w:szCs w:val="22"/>
      <w:lang w:eastAsia="zh-CN"/>
    </w:rPr>
  </w:style>
  <w:style w:type="paragraph" w:styleId="933">
    <w:name w:val="Heading 1"/>
    <w:basedOn w:val="932"/>
    <w:next w:val="932"/>
    <w:link w:val="998"/>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999"/>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1000"/>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1001"/>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1002"/>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1003"/>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1004"/>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1005"/>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1006"/>
    <w:uiPriority w:val="9"/>
    <w:unhideWhenUsed/>
    <w:qFormat/>
    <w:pPr>
      <w:keepLines/>
      <w:keepNext/>
      <w:spacing w:before="320" w:after="200"/>
      <w:outlineLvl w:val="8"/>
    </w:pPr>
    <w:rPr>
      <w:rFonts w:ascii="Arial" w:hAnsi="Arial" w:eastAsia="Arial" w:cs="Arial"/>
      <w:i/>
      <w:iCs/>
      <w:sz w:val="21"/>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oc 7"/>
    <w:basedOn w:val="932"/>
    <w:next w:val="932"/>
    <w:uiPriority w:val="39"/>
    <w:unhideWhenUsed/>
    <w:qFormat/>
    <w:pPr>
      <w:ind w:left="1701" w:right="0" w:firstLine="0"/>
      <w:spacing w:after="57"/>
    </w:pPr>
  </w:style>
  <w:style w:type="paragraph" w:styleId="945">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6">
    <w:name w:val="toc 5"/>
    <w:basedOn w:val="932"/>
    <w:next w:val="932"/>
    <w:uiPriority w:val="39"/>
    <w:unhideWhenUsed/>
    <w:qFormat/>
    <w:pPr>
      <w:ind w:left="1134" w:right="0" w:firstLine="0"/>
      <w:spacing w:after="57"/>
    </w:pPr>
  </w:style>
  <w:style w:type="paragraph" w:styleId="947">
    <w:name w:val="toc 3"/>
    <w:basedOn w:val="932"/>
    <w:next w:val="932"/>
    <w:uiPriority w:val="39"/>
    <w:unhideWhenUsed/>
    <w:qFormat/>
    <w:pPr>
      <w:ind w:left="567" w:right="0" w:firstLine="0"/>
      <w:spacing w:after="57"/>
    </w:pPr>
  </w:style>
  <w:style w:type="paragraph" w:styleId="948">
    <w:name w:val="toc 8"/>
    <w:basedOn w:val="932"/>
    <w:next w:val="932"/>
    <w:uiPriority w:val="39"/>
    <w:unhideWhenUsed/>
    <w:qFormat/>
    <w:pPr>
      <w:ind w:left="1984" w:right="0" w:firstLine="0"/>
      <w:spacing w:after="57"/>
    </w:pPr>
  </w:style>
  <w:style w:type="paragraph" w:styleId="949">
    <w:name w:val="endnote text"/>
    <w:basedOn w:val="932"/>
    <w:uiPriority w:val="99"/>
    <w:semiHidden/>
    <w:unhideWhenUsed/>
    <w:qFormat/>
    <w:pPr>
      <w:spacing w:after="0" w:line="240" w:lineRule="auto"/>
    </w:pPr>
    <w:rPr>
      <w:sz w:val="20"/>
    </w:rPr>
  </w:style>
  <w:style w:type="paragraph" w:styleId="950">
    <w:name w:val="Footer"/>
    <w:basedOn w:val="932"/>
    <w:uiPriority w:val="99"/>
    <w:unhideWhenUsed/>
    <w:qFormat/>
    <w:pPr>
      <w:spacing w:after="0" w:line="240" w:lineRule="auto"/>
      <w:tabs>
        <w:tab w:val="center" w:pos="7143" w:leader="none"/>
        <w:tab w:val="right" w:pos="14287" w:leader="none"/>
      </w:tabs>
    </w:pPr>
  </w:style>
  <w:style w:type="paragraph" w:styleId="951">
    <w:name w:val="Header"/>
    <w:basedOn w:val="932"/>
    <w:uiPriority w:val="99"/>
    <w:unhideWhenUsed/>
    <w:pPr>
      <w:spacing w:after="0" w:line="240" w:lineRule="auto"/>
      <w:tabs>
        <w:tab w:val="center" w:pos="7143" w:leader="none"/>
        <w:tab w:val="right" w:pos="14287" w:leader="none"/>
      </w:tabs>
    </w:pPr>
  </w:style>
  <w:style w:type="paragraph" w:styleId="952">
    <w:name w:val="toc 1"/>
    <w:basedOn w:val="932"/>
    <w:next w:val="932"/>
    <w:uiPriority w:val="39"/>
    <w:unhideWhenUsed/>
    <w:qFormat/>
    <w:pPr>
      <w:ind w:left="0" w:right="0" w:firstLine="0"/>
      <w:spacing w:after="57"/>
    </w:pPr>
  </w:style>
  <w:style w:type="paragraph" w:styleId="953">
    <w:name w:val="toc 4"/>
    <w:basedOn w:val="932"/>
    <w:next w:val="932"/>
    <w:uiPriority w:val="39"/>
    <w:unhideWhenUsed/>
    <w:qFormat/>
    <w:pPr>
      <w:ind w:left="850" w:right="0" w:firstLine="0"/>
      <w:spacing w:after="57"/>
    </w:pPr>
  </w:style>
  <w:style w:type="paragraph" w:styleId="954">
    <w:name w:val="Subtitle"/>
    <w:basedOn w:val="932"/>
    <w:next w:val="932"/>
    <w:uiPriority w:val="11"/>
    <w:qFormat/>
    <w:pPr>
      <w:spacing w:before="200" w:after="200"/>
    </w:pPr>
    <w:rPr>
      <w:sz w:val="24"/>
      <w:szCs w:val="24"/>
    </w:rPr>
  </w:style>
  <w:style w:type="paragraph" w:styleId="955">
    <w:name w:val="footnote text"/>
    <w:basedOn w:val="932"/>
    <w:uiPriority w:val="99"/>
    <w:semiHidden/>
    <w:unhideWhenUsed/>
    <w:qFormat/>
    <w:pPr>
      <w:spacing w:after="40" w:line="240" w:lineRule="auto"/>
    </w:pPr>
    <w:rPr>
      <w:sz w:val="18"/>
    </w:rPr>
  </w:style>
  <w:style w:type="paragraph" w:styleId="956">
    <w:name w:val="toc 6"/>
    <w:basedOn w:val="932"/>
    <w:next w:val="932"/>
    <w:uiPriority w:val="39"/>
    <w:unhideWhenUsed/>
    <w:qFormat/>
    <w:pPr>
      <w:ind w:left="1417" w:right="0" w:firstLine="0"/>
      <w:spacing w:after="57"/>
    </w:pPr>
  </w:style>
  <w:style w:type="paragraph" w:styleId="957">
    <w:name w:val="table of figures"/>
    <w:basedOn w:val="932"/>
    <w:next w:val="932"/>
    <w:uiPriority w:val="99"/>
    <w:unhideWhenUsed/>
    <w:qFormat/>
    <w:pPr>
      <w:spacing w:after="0" w:afterAutospacing="0"/>
    </w:pPr>
  </w:style>
  <w:style w:type="paragraph" w:styleId="958">
    <w:name w:val="toc 2"/>
    <w:basedOn w:val="932"/>
    <w:next w:val="932"/>
    <w:uiPriority w:val="39"/>
    <w:unhideWhenUsed/>
    <w:qFormat/>
    <w:pPr>
      <w:ind w:left="283" w:right="0" w:firstLine="0"/>
      <w:spacing w:after="57"/>
    </w:pPr>
  </w:style>
  <w:style w:type="paragraph" w:styleId="959">
    <w:name w:val="toc 9"/>
    <w:basedOn w:val="932"/>
    <w:next w:val="932"/>
    <w:uiPriority w:val="39"/>
    <w:unhideWhenUsed/>
    <w:qFormat/>
    <w:pPr>
      <w:ind w:left="2268" w:right="0" w:firstLine="0"/>
      <w:spacing w:after="57"/>
    </w:pPr>
  </w:style>
  <w:style w:type="paragraph" w:styleId="960">
    <w:name w:val="Title"/>
    <w:basedOn w:val="932"/>
    <w:next w:val="932"/>
    <w:uiPriority w:val="10"/>
    <w:qFormat/>
    <w:pPr>
      <w:contextualSpacing/>
      <w:spacing w:before="300" w:after="200"/>
    </w:pPr>
    <w:rPr>
      <w:sz w:val="48"/>
      <w:szCs w:val="48"/>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endnote reference"/>
    <w:uiPriority w:val="99"/>
    <w:semiHidden/>
    <w:unhideWhenUsed/>
    <w:qFormat/>
    <w:rPr>
      <w:vertAlign w:val="superscript"/>
    </w:rPr>
  </w:style>
  <w:style w:type="character" w:styleId="963">
    <w:name w:val="Hyperlink"/>
    <w:uiPriority w:val="99"/>
    <w:unhideWhenUsed/>
    <w:qFormat/>
    <w:rPr>
      <w:color w:val="0000ff" w:themeColor="hyperlink"/>
      <w:u w:val="single"/>
      <w14:textFill>
        <w14:solidFill>
          <w14:schemeClr w14:val="hlink"/>
        </w14:solidFill>
      </w14:textFill>
    </w:rPr>
  </w:style>
  <w:style w:type="character" w:styleId="964">
    <w:name w:val="footnote reference"/>
    <w:uiPriority w:val="99"/>
    <w:unhideWhenUsed/>
    <w:qFormat/>
    <w:rPr>
      <w:vertAlign w:val="superscript"/>
    </w:rPr>
  </w:style>
  <w:style w:type="paragraph" w:styleId="965" w:customStyle="1">
    <w:name w:val="标题 111"/>
    <w:basedOn w:val="932"/>
    <w:next w:val="932"/>
    <w:uiPriority w:val="0"/>
    <w:qFormat/>
    <w:pPr>
      <w:numPr>
        <w:ilvl w:val="0"/>
        <w:numId w:val="1"/>
      </w:numPr>
      <w:jc w:val="left"/>
      <w:keepLines/>
      <w:keepNext/>
      <w:outlineLvl w:val="0"/>
    </w:pPr>
    <w:rPr>
      <w:b/>
      <w:bCs/>
      <w:sz w:val="32"/>
      <w:szCs w:val="32"/>
    </w:rPr>
  </w:style>
  <w:style w:type="character" w:styleId="966" w:customStyle="1">
    <w:name w:val="默认段落字体11"/>
    <w:link w:val="932"/>
    <w:uiPriority w:val="1"/>
    <w:unhideWhenUsed/>
    <w:qFormat/>
  </w:style>
  <w:style w:type="table" w:styleId="967" w:customStyle="1">
    <w:name w:val="普通表格11"/>
    <w:uiPriority w:val="99"/>
    <w:unhideWhenUsed/>
    <w:qFormat/>
    <w:tblPr/>
  </w:style>
  <w:style w:type="paragraph" w:styleId="968" w:customStyle="1">
    <w:name w:val="目录 711"/>
    <w:basedOn w:val="932"/>
    <w:next w:val="932"/>
    <w:uiPriority w:val="39"/>
    <w:unhideWhenUsed/>
    <w:qFormat/>
    <w:pPr>
      <w:ind w:left="1701" w:right="0" w:firstLine="0"/>
      <w:spacing w:after="57"/>
    </w:pPr>
  </w:style>
  <w:style w:type="paragraph" w:styleId="969" w:customStyle="1">
    <w:name w:val="正文文本1111"/>
    <w:basedOn w:val="932"/>
    <w:next w:val="932"/>
    <w:uiPriority w:val="0"/>
    <w:qFormat/>
    <w:rPr>
      <w:rFonts w:ascii="楷体_GB2312" w:hAnsi="Arial" w:eastAsia="楷体_GB2312"/>
      <w:sz w:val="28"/>
      <w:szCs w:val="28"/>
    </w:rPr>
  </w:style>
  <w:style w:type="paragraph" w:styleId="970" w:customStyle="1">
    <w:name w:val="目录 511"/>
    <w:basedOn w:val="932"/>
    <w:next w:val="932"/>
    <w:uiPriority w:val="39"/>
    <w:unhideWhenUsed/>
    <w:qFormat/>
    <w:pPr>
      <w:ind w:left="1134" w:right="0" w:firstLine="0"/>
      <w:spacing w:after="57"/>
    </w:pPr>
  </w:style>
  <w:style w:type="paragraph" w:styleId="971" w:customStyle="1">
    <w:name w:val="目录 311"/>
    <w:basedOn w:val="932"/>
    <w:next w:val="932"/>
    <w:uiPriority w:val="39"/>
    <w:unhideWhenUsed/>
    <w:qFormat/>
    <w:pPr>
      <w:ind w:left="567" w:right="0" w:firstLine="0"/>
      <w:spacing w:after="57"/>
    </w:pPr>
  </w:style>
  <w:style w:type="paragraph" w:styleId="972" w:customStyle="1">
    <w:name w:val="纯文本11"/>
    <w:basedOn w:val="932"/>
    <w:uiPriority w:val="0"/>
    <w:qFormat/>
    <w:rPr>
      <w:rFonts w:ascii="宋体" w:hAnsi="Courier New"/>
    </w:rPr>
  </w:style>
  <w:style w:type="paragraph" w:styleId="973" w:customStyle="1">
    <w:name w:val="目录 811"/>
    <w:basedOn w:val="932"/>
    <w:next w:val="932"/>
    <w:uiPriority w:val="39"/>
    <w:unhideWhenUsed/>
    <w:qFormat/>
    <w:pPr>
      <w:ind w:left="1984" w:right="0" w:firstLine="0"/>
      <w:spacing w:after="57"/>
    </w:pPr>
  </w:style>
  <w:style w:type="paragraph" w:styleId="974" w:customStyle="1">
    <w:name w:val="正文文本缩进 211"/>
    <w:basedOn w:val="932"/>
    <w:uiPriority w:val="0"/>
    <w:qFormat/>
    <w:pPr>
      <w:ind w:firstLine="502"/>
      <w:spacing w:line="360" w:lineRule="auto"/>
      <w:tabs>
        <w:tab w:val="left" w:pos="0" w:leader="none"/>
      </w:tabs>
    </w:pPr>
    <w:rPr>
      <w:rFonts w:ascii="宋体" w:eastAsia="宋体"/>
      <w:b/>
      <w:bCs/>
      <w:sz w:val="24"/>
    </w:rPr>
  </w:style>
  <w:style w:type="paragraph" w:styleId="975" w:customStyle="1">
    <w:name w:val="尾注文本1"/>
    <w:basedOn w:val="932"/>
    <w:link w:val="976"/>
    <w:uiPriority w:val="99"/>
    <w:unhideWhenUsed/>
    <w:qFormat/>
    <w:pPr>
      <w:spacing w:after="0" w:line="240" w:lineRule="auto"/>
    </w:pPr>
    <w:rPr>
      <w:sz w:val="20"/>
    </w:rPr>
  </w:style>
  <w:style w:type="character" w:styleId="976" w:customStyle="1">
    <w:name w:val="Endnote Text Char"/>
    <w:link w:val="975"/>
    <w:uiPriority w:val="99"/>
    <w:qFormat/>
    <w:rPr>
      <w:sz w:val="20"/>
    </w:rPr>
  </w:style>
  <w:style w:type="paragraph" w:styleId="977" w:customStyle="1">
    <w:name w:val="目录 111"/>
    <w:basedOn w:val="932"/>
    <w:next w:val="932"/>
    <w:uiPriority w:val="39"/>
    <w:unhideWhenUsed/>
    <w:qFormat/>
    <w:pPr>
      <w:ind w:left="0" w:right="0" w:firstLine="0"/>
      <w:spacing w:after="57"/>
    </w:pPr>
  </w:style>
  <w:style w:type="paragraph" w:styleId="978" w:customStyle="1">
    <w:name w:val="目录 411"/>
    <w:basedOn w:val="932"/>
    <w:next w:val="932"/>
    <w:uiPriority w:val="39"/>
    <w:unhideWhenUsed/>
    <w:qFormat/>
    <w:pPr>
      <w:ind w:left="850" w:right="0" w:firstLine="0"/>
      <w:spacing w:after="57"/>
    </w:pPr>
  </w:style>
  <w:style w:type="paragraph" w:styleId="979" w:customStyle="1">
    <w:name w:val="副标题1"/>
    <w:basedOn w:val="932"/>
    <w:next w:val="932"/>
    <w:link w:val="980"/>
    <w:uiPriority w:val="11"/>
    <w:qFormat/>
    <w:pPr>
      <w:spacing w:before="200" w:after="200"/>
    </w:pPr>
    <w:rPr>
      <w:sz w:val="24"/>
      <w:szCs w:val="24"/>
    </w:rPr>
  </w:style>
  <w:style w:type="character" w:styleId="980" w:customStyle="1">
    <w:name w:val="Subtitle Char"/>
    <w:link w:val="979"/>
    <w:uiPriority w:val="11"/>
    <w:qFormat/>
    <w:rPr>
      <w:sz w:val="24"/>
      <w:szCs w:val="24"/>
    </w:rPr>
  </w:style>
  <w:style w:type="paragraph" w:styleId="981" w:customStyle="1">
    <w:name w:val="脚注文本1"/>
    <w:basedOn w:val="932"/>
    <w:link w:val="982"/>
    <w:uiPriority w:val="99"/>
    <w:unhideWhenUsed/>
    <w:qFormat/>
    <w:pPr>
      <w:spacing w:after="40" w:line="240" w:lineRule="auto"/>
    </w:pPr>
    <w:rPr>
      <w:sz w:val="18"/>
    </w:rPr>
  </w:style>
  <w:style w:type="character" w:styleId="982" w:customStyle="1">
    <w:name w:val="Footnote Text Char"/>
    <w:link w:val="981"/>
    <w:uiPriority w:val="99"/>
    <w:qFormat/>
    <w:rPr>
      <w:sz w:val="18"/>
    </w:rPr>
  </w:style>
  <w:style w:type="paragraph" w:styleId="983" w:customStyle="1">
    <w:name w:val="目录 611"/>
    <w:basedOn w:val="932"/>
    <w:next w:val="932"/>
    <w:uiPriority w:val="39"/>
    <w:unhideWhenUsed/>
    <w:qFormat/>
    <w:pPr>
      <w:ind w:left="1417" w:right="0" w:firstLine="0"/>
      <w:spacing w:after="57"/>
    </w:pPr>
  </w:style>
  <w:style w:type="paragraph" w:styleId="984" w:customStyle="1">
    <w:name w:val="图表目录11"/>
    <w:basedOn w:val="932"/>
    <w:next w:val="932"/>
    <w:uiPriority w:val="99"/>
    <w:unhideWhenUsed/>
    <w:qFormat/>
    <w:pPr>
      <w:spacing w:after="0" w:afterAutospacing="0"/>
    </w:pPr>
  </w:style>
  <w:style w:type="paragraph" w:styleId="985" w:customStyle="1">
    <w:name w:val="目录 211"/>
    <w:basedOn w:val="932"/>
    <w:next w:val="932"/>
    <w:uiPriority w:val="39"/>
    <w:unhideWhenUsed/>
    <w:qFormat/>
    <w:pPr>
      <w:ind w:left="283" w:right="0" w:firstLine="0"/>
      <w:spacing w:after="57"/>
    </w:pPr>
  </w:style>
  <w:style w:type="paragraph" w:styleId="986" w:customStyle="1">
    <w:name w:val="目录 911"/>
    <w:basedOn w:val="932"/>
    <w:next w:val="932"/>
    <w:uiPriority w:val="39"/>
    <w:unhideWhenUsed/>
    <w:qFormat/>
    <w:pPr>
      <w:ind w:left="2268" w:right="0" w:firstLine="0"/>
      <w:spacing w:after="57"/>
    </w:pPr>
  </w:style>
  <w:style w:type="paragraph" w:styleId="987" w:customStyle="1">
    <w:name w:val="普通(网站)11"/>
    <w:basedOn w:val="932"/>
    <w:uiPriority w:val="0"/>
    <w:qFormat/>
    <w:pPr>
      <w:jc w:val="left"/>
      <w:spacing w:before="100" w:beforeAutospacing="1" w:after="100" w:afterAutospacing="1" w:line="360" w:lineRule="auto"/>
      <w:widowControl/>
    </w:pPr>
    <w:rPr>
      <w:rFonts w:hint="eastAsia" w:ascii="宋体" w:hAnsi="宋体"/>
      <w:sz w:val="18"/>
      <w:szCs w:val="18"/>
    </w:rPr>
  </w:style>
  <w:style w:type="paragraph" w:styleId="988" w:customStyle="1">
    <w:name w:val="标题11"/>
    <w:basedOn w:val="932"/>
    <w:next w:val="932"/>
    <w:link w:val="989"/>
    <w:uiPriority w:val="10"/>
    <w:qFormat/>
    <w:pPr>
      <w:contextualSpacing/>
      <w:spacing w:before="300" w:after="200"/>
    </w:pPr>
    <w:rPr>
      <w:sz w:val="48"/>
      <w:szCs w:val="48"/>
    </w:rPr>
  </w:style>
  <w:style w:type="character" w:styleId="989" w:customStyle="1">
    <w:name w:val="Title Char"/>
    <w:link w:val="988"/>
    <w:uiPriority w:val="10"/>
    <w:qFormat/>
    <w:rPr>
      <w:sz w:val="48"/>
      <w:szCs w:val="48"/>
    </w:rPr>
  </w:style>
  <w:style w:type="paragraph" w:styleId="990" w:customStyle="1">
    <w:name w:val="正文首行缩进121"/>
    <w:basedOn w:val="969"/>
    <w:uiPriority w:val="0"/>
    <w:qFormat/>
    <w:pPr>
      <w:ind w:firstLine="200"/>
      <w:spacing w:line="360" w:lineRule="auto"/>
    </w:pPr>
    <w:rPr>
      <w:rFonts w:ascii="仿宋_GB2312" w:hAnsi="Times New Roman" w:eastAsia="仿宋_GB2312"/>
      <w:sz w:val="30"/>
      <w:szCs w:val="30"/>
    </w:rPr>
  </w:style>
  <w:style w:type="table" w:styleId="991" w:customStyle="1">
    <w:name w:val="网格型11"/>
    <w:uiPriority w:val="59"/>
    <w:qFormat/>
    <w:pPr>
      <w:spacing w:after="0" w:line="240" w:lineRule="auto"/>
    </w:pPr>
    <w:tblPr/>
  </w:style>
  <w:style w:type="character" w:styleId="992" w:customStyle="1">
    <w:name w:val="尾注引用1"/>
    <w:link w:val="932"/>
    <w:uiPriority w:val="99"/>
    <w:unhideWhenUsed/>
    <w:qFormat/>
    <w:rPr>
      <w:vertAlign w:val="superscript"/>
    </w:rPr>
  </w:style>
  <w:style w:type="character" w:styleId="993" w:customStyle="1">
    <w:name w:val="超链接12"/>
    <w:basedOn w:val="966"/>
    <w:link w:val="932"/>
    <w:uiPriority w:val="99"/>
    <w:unhideWhenUsed/>
    <w:qFormat/>
    <w:rPr>
      <w:color w:val="0000ff"/>
      <w:u w:val="single"/>
    </w:rPr>
  </w:style>
  <w:style w:type="character" w:styleId="994" w:customStyle="1">
    <w:name w:val="脚注引用1"/>
    <w:link w:val="932"/>
    <w:uiPriority w:val="99"/>
    <w:unhideWhenUsed/>
    <w:qFormat/>
    <w:rPr>
      <w:vertAlign w:val="superscript"/>
    </w:rPr>
  </w:style>
  <w:style w:type="paragraph" w:styleId="995" w:customStyle="1">
    <w:name w:val="正文首行缩进11"/>
    <w:basedOn w:val="996"/>
    <w:link w:val="997"/>
    <w:uiPriority w:val="0"/>
    <w:qFormat/>
    <w:pPr>
      <w:ind w:firstLine="200"/>
      <w:spacing w:line="360" w:lineRule="auto"/>
    </w:pPr>
    <w:rPr>
      <w:rFonts w:ascii="仿宋_GB2312" w:hAnsi="Times New Roman" w:eastAsia="仿宋_GB2312"/>
      <w:sz w:val="30"/>
      <w:szCs w:val="30"/>
    </w:rPr>
  </w:style>
  <w:style w:type="paragraph" w:styleId="996" w:customStyle="1">
    <w:name w:val="正文文本1"/>
    <w:basedOn w:val="932"/>
    <w:next w:val="932"/>
    <w:uiPriority w:val="0"/>
    <w:qFormat/>
    <w:rPr>
      <w:rFonts w:ascii="楷体_GB2312" w:hAnsi="Arial" w:eastAsia="楷体_GB2312"/>
      <w:sz w:val="28"/>
      <w:szCs w:val="28"/>
      <w:lang w:eastAsia="en-US"/>
    </w:rPr>
  </w:style>
  <w:style w:type="character" w:styleId="997" w:customStyle="1">
    <w:name w:val="正文首行缩进 字符"/>
    <w:link w:val="995"/>
    <w:uiPriority w:val="0"/>
    <w:qFormat/>
    <w:rPr>
      <w:rFonts w:ascii="仿宋_GB2312" w:hAnsi="Times New Roman" w:eastAsia="仿宋_GB2312" w:cs="Times New Roman"/>
      <w:sz w:val="30"/>
      <w:szCs w:val="30"/>
    </w:rPr>
  </w:style>
  <w:style w:type="character" w:styleId="998" w:customStyle="1">
    <w:name w:val="Heading 1 Char"/>
    <w:link w:val="933"/>
    <w:uiPriority w:val="9"/>
    <w:qFormat/>
    <w:rPr>
      <w:rFonts w:ascii="Arial" w:hAnsi="Arial" w:eastAsia="Arial" w:cs="Arial"/>
      <w:sz w:val="40"/>
      <w:szCs w:val="40"/>
    </w:rPr>
  </w:style>
  <w:style w:type="character" w:styleId="999" w:customStyle="1">
    <w:name w:val="Heading 2 Char"/>
    <w:link w:val="934"/>
    <w:uiPriority w:val="9"/>
    <w:qFormat/>
    <w:rPr>
      <w:rFonts w:ascii="Arial" w:hAnsi="Arial" w:eastAsia="Arial" w:cs="Arial"/>
      <w:sz w:val="34"/>
    </w:rPr>
  </w:style>
  <w:style w:type="character" w:styleId="1000" w:customStyle="1">
    <w:name w:val="Heading 3 Char"/>
    <w:link w:val="935"/>
    <w:uiPriority w:val="9"/>
    <w:qFormat/>
    <w:rPr>
      <w:rFonts w:ascii="Arial" w:hAnsi="Arial" w:eastAsia="Arial" w:cs="Arial"/>
      <w:sz w:val="30"/>
      <w:szCs w:val="30"/>
    </w:rPr>
  </w:style>
  <w:style w:type="character" w:styleId="1001" w:customStyle="1">
    <w:name w:val="Heading 4 Char"/>
    <w:link w:val="936"/>
    <w:uiPriority w:val="9"/>
    <w:qFormat/>
    <w:rPr>
      <w:rFonts w:ascii="Arial" w:hAnsi="Arial" w:eastAsia="Arial" w:cs="Arial"/>
      <w:b/>
      <w:bCs/>
      <w:sz w:val="26"/>
      <w:szCs w:val="26"/>
    </w:rPr>
  </w:style>
  <w:style w:type="character" w:styleId="1002" w:customStyle="1">
    <w:name w:val="Heading 5 Char"/>
    <w:link w:val="937"/>
    <w:uiPriority w:val="9"/>
    <w:qFormat/>
    <w:rPr>
      <w:rFonts w:ascii="Arial" w:hAnsi="Arial" w:eastAsia="Arial" w:cs="Arial"/>
      <w:b/>
      <w:bCs/>
      <w:sz w:val="24"/>
      <w:szCs w:val="24"/>
    </w:rPr>
  </w:style>
  <w:style w:type="character" w:styleId="1003" w:customStyle="1">
    <w:name w:val="Heading 6 Char"/>
    <w:link w:val="938"/>
    <w:uiPriority w:val="9"/>
    <w:qFormat/>
    <w:rPr>
      <w:rFonts w:ascii="Arial" w:hAnsi="Arial" w:eastAsia="Arial" w:cs="Arial"/>
      <w:b/>
      <w:bCs/>
      <w:sz w:val="22"/>
      <w:szCs w:val="22"/>
    </w:rPr>
  </w:style>
  <w:style w:type="character" w:styleId="1004" w:customStyle="1">
    <w:name w:val="Heading 7 Char"/>
    <w:link w:val="939"/>
    <w:uiPriority w:val="9"/>
    <w:qFormat/>
    <w:rPr>
      <w:rFonts w:ascii="Arial" w:hAnsi="Arial" w:eastAsia="Arial" w:cs="Arial"/>
      <w:b/>
      <w:bCs/>
      <w:i/>
      <w:iCs/>
      <w:sz w:val="22"/>
      <w:szCs w:val="22"/>
    </w:rPr>
  </w:style>
  <w:style w:type="character" w:styleId="1005" w:customStyle="1">
    <w:name w:val="Heading 8 Char"/>
    <w:link w:val="940"/>
    <w:uiPriority w:val="9"/>
    <w:qFormat/>
    <w:rPr>
      <w:rFonts w:ascii="Arial" w:hAnsi="Arial" w:eastAsia="Arial" w:cs="Arial"/>
      <w:i/>
      <w:iCs/>
      <w:sz w:val="22"/>
      <w:szCs w:val="22"/>
    </w:rPr>
  </w:style>
  <w:style w:type="character" w:styleId="1006" w:customStyle="1">
    <w:name w:val="Heading 9 Char"/>
    <w:link w:val="941"/>
    <w:uiPriority w:val="9"/>
    <w:qFormat/>
    <w:rPr>
      <w:rFonts w:ascii="Arial" w:hAnsi="Arial" w:eastAsia="Arial" w:cs="Arial"/>
      <w:i/>
      <w:iCs/>
      <w:sz w:val="21"/>
      <w:szCs w:val="21"/>
    </w:rPr>
  </w:style>
  <w:style w:type="paragraph" w:styleId="1007" w:customStyle="1">
    <w:name w:val="Caption1"/>
    <w:basedOn w:val="932"/>
    <w:next w:val="932"/>
    <w:uiPriority w:val="35"/>
    <w:unhideWhenUsed/>
    <w:qFormat/>
    <w:pPr>
      <w:spacing w:line="276" w:lineRule="auto"/>
    </w:pPr>
    <w:rPr>
      <w:b/>
      <w:bCs/>
      <w:color w:val="4f81bd"/>
      <w:sz w:val="18"/>
      <w:szCs w:val="18"/>
    </w:rPr>
  </w:style>
  <w:style w:type="paragraph" w:styleId="1008" w:customStyle="1">
    <w:name w:val="Footer1"/>
    <w:basedOn w:val="932"/>
    <w:link w:val="1010"/>
    <w:uiPriority w:val="99"/>
    <w:unhideWhenUsed/>
    <w:qFormat/>
    <w:pPr>
      <w:spacing w:after="0" w:line="240" w:lineRule="auto"/>
      <w:tabs>
        <w:tab w:val="center" w:pos="7143" w:leader="none"/>
        <w:tab w:val="right" w:pos="14287" w:leader="none"/>
      </w:tabs>
    </w:pPr>
  </w:style>
  <w:style w:type="character" w:styleId="1009" w:customStyle="1">
    <w:name w:val="Footer Char"/>
    <w:link w:val="1008"/>
    <w:uiPriority w:val="99"/>
    <w:qFormat/>
  </w:style>
  <w:style w:type="character" w:styleId="1010" w:customStyle="1">
    <w:name w:val="Caption Char"/>
    <w:link w:val="1008"/>
    <w:uiPriority w:val="99"/>
    <w:qFormat/>
  </w:style>
  <w:style w:type="paragraph" w:styleId="1011" w:customStyle="1">
    <w:name w:val="Header1"/>
    <w:basedOn w:val="932"/>
    <w:link w:val="1012"/>
    <w:uiPriority w:val="99"/>
    <w:unhideWhenUsed/>
    <w:qFormat/>
    <w:pPr>
      <w:spacing w:after="0" w:line="240" w:lineRule="auto"/>
      <w:tabs>
        <w:tab w:val="center" w:pos="7143" w:leader="none"/>
        <w:tab w:val="right" w:pos="14287" w:leader="none"/>
      </w:tabs>
    </w:pPr>
  </w:style>
  <w:style w:type="character" w:styleId="1012" w:customStyle="1">
    <w:name w:val="Header Char"/>
    <w:link w:val="1011"/>
    <w:uiPriority w:val="99"/>
    <w:qFormat/>
  </w:style>
  <w:style w:type="paragraph" w:styleId="1013" w:customStyle="1">
    <w:name w:val="正文文本11"/>
    <w:basedOn w:val="932"/>
    <w:next w:val="932"/>
    <w:link w:val="1014"/>
    <w:uiPriority w:val="0"/>
    <w:qFormat/>
    <w:rPr>
      <w:rFonts w:ascii="楷体_GB2312" w:hAnsi="Arial" w:eastAsia="楷体_GB2312"/>
      <w:sz w:val="28"/>
      <w:szCs w:val="28"/>
    </w:rPr>
  </w:style>
  <w:style w:type="character" w:styleId="1014" w:customStyle="1">
    <w:name w:val="正文文本 字符"/>
    <w:link w:val="1013"/>
    <w:uiPriority w:val="0"/>
    <w:qFormat/>
    <w:rPr>
      <w:rFonts w:ascii="楷体_GB2312" w:hAnsi="Arial" w:eastAsia="楷体_GB2312" w:cs="Times New Roman"/>
      <w:sz w:val="28"/>
      <w:szCs w:val="28"/>
    </w:rPr>
  </w:style>
  <w:style w:type="paragraph" w:styleId="1015">
    <w:name w:val="List Paragraph"/>
    <w:basedOn w:val="932"/>
    <w:uiPriority w:val="34"/>
    <w:qFormat/>
    <w:pPr>
      <w:contextualSpacing/>
      <w:ind w:left="720"/>
    </w:pPr>
  </w:style>
  <w:style w:type="paragraph" w:styleId="1016">
    <w:name w:val="No Spacing"/>
    <w:uiPriority w:val="1"/>
    <w:qFormat/>
    <w:pPr>
      <w:spacing w:before="0" w:after="0" w:line="240" w:lineRule="auto"/>
    </w:pPr>
    <w:rPr>
      <w:rFonts w:hint="default" w:ascii="Times New Roman" w:hAnsi="Times New Roman" w:eastAsia="宋体" w:cs="Times New Roman"/>
    </w:rPr>
  </w:style>
  <w:style w:type="paragraph" w:styleId="1017">
    <w:name w:val="Quote"/>
    <w:basedOn w:val="932"/>
    <w:next w:val="932"/>
    <w:link w:val="1018"/>
    <w:uiPriority w:val="29"/>
    <w:qFormat/>
    <w:pPr>
      <w:ind w:left="720" w:right="720"/>
    </w:pPr>
    <w:rPr>
      <w:i/>
    </w:rPr>
  </w:style>
  <w:style w:type="character" w:styleId="1018" w:customStyle="1">
    <w:name w:val="Quote Char"/>
    <w:link w:val="1017"/>
    <w:uiPriority w:val="29"/>
    <w:qFormat/>
    <w:rPr>
      <w:i/>
    </w:rPr>
  </w:style>
  <w:style w:type="paragraph" w:styleId="1019">
    <w:name w:val="Intense Quote"/>
    <w:basedOn w:val="932"/>
    <w:next w:val="932"/>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customStyle="1">
    <w:name w:val="Intense Quote Char"/>
    <w:link w:val="1019"/>
    <w:uiPriority w:val="30"/>
    <w:qFormat/>
    <w:rPr>
      <w:i/>
    </w:rPr>
  </w:style>
  <w:style w:type="table" w:styleId="1021" w:customStyle="1">
    <w:name w:val="Table Grid Light"/>
    <w:uiPriority w:val="59"/>
    <w:qFormat/>
    <w:pPr>
      <w:spacing w:after="0" w:line="240" w:lineRule="auto"/>
    </w:pPr>
    <w:tblPr/>
  </w:style>
  <w:style w:type="table" w:styleId="1022" w:customStyle="1">
    <w:name w:val="Plain Table 1"/>
    <w:uiPriority w:val="59"/>
    <w:qFormat/>
    <w:pPr>
      <w:spacing w:after="0" w:line="240" w:lineRule="auto"/>
    </w:pPr>
    <w:tblPr/>
  </w:style>
  <w:style w:type="table" w:styleId="1023" w:customStyle="1">
    <w:name w:val="Plain Table 2"/>
    <w:uiPriority w:val="59"/>
    <w:qFormat/>
    <w:pPr>
      <w:spacing w:after="0" w:line="240" w:lineRule="auto"/>
    </w:pPr>
    <w:tblPr/>
  </w:style>
  <w:style w:type="table" w:styleId="1024" w:customStyle="1">
    <w:name w:val="Plain Table 3"/>
    <w:uiPriority w:val="99"/>
    <w:qFormat/>
    <w:pPr>
      <w:spacing w:after="0" w:line="240" w:lineRule="auto"/>
    </w:pPr>
    <w:tblPr/>
  </w:style>
  <w:style w:type="table" w:styleId="1025" w:customStyle="1">
    <w:name w:val="Plain Table 4"/>
    <w:uiPriority w:val="99"/>
    <w:qFormat/>
    <w:pPr>
      <w:spacing w:after="0" w:line="240" w:lineRule="auto"/>
    </w:pPr>
    <w:tblPr/>
  </w:style>
  <w:style w:type="table" w:styleId="1026" w:customStyle="1">
    <w:name w:val="Plain Table 5"/>
    <w:uiPriority w:val="99"/>
    <w:qFormat/>
    <w:pPr>
      <w:spacing w:after="0" w:line="240" w:lineRule="auto"/>
    </w:pPr>
    <w:tblPr/>
  </w:style>
  <w:style w:type="table" w:styleId="1027" w:customStyle="1">
    <w:name w:val="Grid Table 1 Light"/>
    <w:uiPriority w:val="99"/>
    <w:qFormat/>
    <w:pPr>
      <w:spacing w:after="0" w:line="240" w:lineRule="auto"/>
    </w:pPr>
    <w:tblPr/>
  </w:style>
  <w:style w:type="table" w:styleId="1028" w:customStyle="1">
    <w:name w:val="Grid Table 1 Light - Accent 1"/>
    <w:uiPriority w:val="99"/>
    <w:qFormat/>
    <w:pPr>
      <w:spacing w:after="0" w:line="240" w:lineRule="auto"/>
    </w:pPr>
    <w:tblPr/>
  </w:style>
  <w:style w:type="table" w:styleId="1029" w:customStyle="1">
    <w:name w:val="Grid Table 1 Light - Accent 2"/>
    <w:uiPriority w:val="99"/>
    <w:qFormat/>
    <w:pPr>
      <w:spacing w:after="0" w:line="240" w:lineRule="auto"/>
    </w:pPr>
    <w:tblPr/>
  </w:style>
  <w:style w:type="table" w:styleId="1030" w:customStyle="1">
    <w:name w:val="Grid Table 1 Light - Accent 3"/>
    <w:uiPriority w:val="99"/>
    <w:qFormat/>
    <w:pPr>
      <w:spacing w:after="0" w:line="240" w:lineRule="auto"/>
    </w:pPr>
    <w:tblPr/>
  </w:style>
  <w:style w:type="table" w:styleId="1031" w:customStyle="1">
    <w:name w:val="Grid Table 1 Light - Accent 4"/>
    <w:uiPriority w:val="99"/>
    <w:qFormat/>
    <w:pPr>
      <w:spacing w:after="0" w:line="240" w:lineRule="auto"/>
    </w:pPr>
    <w:tblPr/>
  </w:style>
  <w:style w:type="table" w:styleId="1032" w:customStyle="1">
    <w:name w:val="Grid Table 1 Light - Accent 5"/>
    <w:uiPriority w:val="99"/>
    <w:qFormat/>
    <w:pPr>
      <w:spacing w:after="0" w:line="240" w:lineRule="auto"/>
    </w:pPr>
    <w:tblPr/>
  </w:style>
  <w:style w:type="table" w:styleId="1033" w:customStyle="1">
    <w:name w:val="Grid Table 1 Light - Accent 6"/>
    <w:uiPriority w:val="99"/>
    <w:qFormat/>
    <w:pPr>
      <w:spacing w:after="0" w:line="240" w:lineRule="auto"/>
    </w:pPr>
    <w:tblPr/>
  </w:style>
  <w:style w:type="table" w:styleId="1034" w:customStyle="1">
    <w:name w:val="Grid Table 2"/>
    <w:uiPriority w:val="99"/>
    <w:qFormat/>
    <w:pPr>
      <w:spacing w:after="0" w:line="240" w:lineRule="auto"/>
    </w:pPr>
    <w:tblPr/>
  </w:style>
  <w:style w:type="table" w:styleId="1035" w:customStyle="1">
    <w:name w:val="Grid Table 2 - Accent 1"/>
    <w:uiPriority w:val="99"/>
    <w:qFormat/>
    <w:pPr>
      <w:spacing w:after="0" w:line="240" w:lineRule="auto"/>
    </w:pPr>
    <w:tblPr/>
  </w:style>
  <w:style w:type="table" w:styleId="1036" w:customStyle="1">
    <w:name w:val="Grid Table 2 - Accent 2"/>
    <w:uiPriority w:val="99"/>
    <w:qFormat/>
    <w:pPr>
      <w:spacing w:after="0" w:line="240" w:lineRule="auto"/>
    </w:pPr>
    <w:tblPr/>
  </w:style>
  <w:style w:type="table" w:styleId="1037" w:customStyle="1">
    <w:name w:val="Grid Table 2 - Accent 3"/>
    <w:uiPriority w:val="99"/>
    <w:qFormat/>
    <w:pPr>
      <w:spacing w:after="0" w:line="240" w:lineRule="auto"/>
    </w:pPr>
    <w:tblPr/>
  </w:style>
  <w:style w:type="table" w:styleId="1038" w:customStyle="1">
    <w:name w:val="Grid Table 2 - Accent 4"/>
    <w:uiPriority w:val="99"/>
    <w:qFormat/>
    <w:pPr>
      <w:spacing w:after="0" w:line="240" w:lineRule="auto"/>
    </w:pPr>
    <w:tblPr/>
  </w:style>
  <w:style w:type="table" w:styleId="1039" w:customStyle="1">
    <w:name w:val="Grid Table 2 - Accent 5"/>
    <w:uiPriority w:val="99"/>
    <w:qFormat/>
    <w:pPr>
      <w:spacing w:after="0" w:line="240" w:lineRule="auto"/>
    </w:pPr>
    <w:tblPr/>
  </w:style>
  <w:style w:type="table" w:styleId="1040" w:customStyle="1">
    <w:name w:val="Grid Table 2 - Accent 6"/>
    <w:uiPriority w:val="99"/>
    <w:qFormat/>
    <w:pPr>
      <w:spacing w:after="0" w:line="240" w:lineRule="auto"/>
    </w:pPr>
    <w:tblPr/>
  </w:style>
  <w:style w:type="table" w:styleId="1041" w:customStyle="1">
    <w:name w:val="Grid Table 3"/>
    <w:uiPriority w:val="99"/>
    <w:qFormat/>
    <w:pPr>
      <w:spacing w:after="0" w:line="240" w:lineRule="auto"/>
    </w:pPr>
    <w:tblPr/>
  </w:style>
  <w:style w:type="table" w:styleId="1042" w:customStyle="1">
    <w:name w:val="Grid Table 3 - Accent 1"/>
    <w:uiPriority w:val="99"/>
    <w:qFormat/>
    <w:pPr>
      <w:spacing w:after="0" w:line="240" w:lineRule="auto"/>
    </w:pPr>
    <w:tblPr/>
  </w:style>
  <w:style w:type="table" w:styleId="1043" w:customStyle="1">
    <w:name w:val="Grid Table 3 - Accent 2"/>
    <w:uiPriority w:val="99"/>
    <w:qFormat/>
    <w:pPr>
      <w:spacing w:after="0" w:line="240" w:lineRule="auto"/>
    </w:pPr>
    <w:tblPr/>
  </w:style>
  <w:style w:type="table" w:styleId="1044" w:customStyle="1">
    <w:name w:val="Grid Table 3 - Accent 3"/>
    <w:uiPriority w:val="99"/>
    <w:qFormat/>
    <w:pPr>
      <w:spacing w:after="0" w:line="240" w:lineRule="auto"/>
    </w:pPr>
    <w:tblPr/>
  </w:style>
  <w:style w:type="table" w:styleId="1045" w:customStyle="1">
    <w:name w:val="Grid Table 3 - Accent 4"/>
    <w:uiPriority w:val="99"/>
    <w:qFormat/>
    <w:pPr>
      <w:spacing w:after="0" w:line="240" w:lineRule="auto"/>
    </w:pPr>
    <w:tblPr/>
  </w:style>
  <w:style w:type="table" w:styleId="1046" w:customStyle="1">
    <w:name w:val="Grid Table 3 - Accent 5"/>
    <w:uiPriority w:val="99"/>
    <w:qFormat/>
    <w:pPr>
      <w:spacing w:after="0" w:line="240" w:lineRule="auto"/>
    </w:pPr>
    <w:tblPr/>
  </w:style>
  <w:style w:type="table" w:styleId="1047" w:customStyle="1">
    <w:name w:val="Grid Table 3 - Accent 6"/>
    <w:uiPriority w:val="99"/>
    <w:qFormat/>
    <w:pPr>
      <w:spacing w:after="0" w:line="240" w:lineRule="auto"/>
    </w:pPr>
    <w:tblPr/>
  </w:style>
  <w:style w:type="table" w:styleId="1048" w:customStyle="1">
    <w:name w:val="Grid Table 4"/>
    <w:uiPriority w:val="59"/>
    <w:qFormat/>
    <w:pPr>
      <w:spacing w:after="0" w:line="240" w:lineRule="auto"/>
    </w:pPr>
    <w:tblPr/>
  </w:style>
  <w:style w:type="table" w:styleId="1049" w:customStyle="1">
    <w:name w:val="Grid Table 4 - Accent 1"/>
    <w:uiPriority w:val="59"/>
    <w:qFormat/>
    <w:pPr>
      <w:spacing w:after="0" w:line="240" w:lineRule="auto"/>
    </w:pPr>
    <w:tblPr/>
  </w:style>
  <w:style w:type="table" w:styleId="1050" w:customStyle="1">
    <w:name w:val="Grid Table 4 - Accent 2"/>
    <w:uiPriority w:val="59"/>
    <w:qFormat/>
    <w:pPr>
      <w:spacing w:after="0" w:line="240" w:lineRule="auto"/>
    </w:pPr>
    <w:tblPr/>
  </w:style>
  <w:style w:type="table" w:styleId="1051" w:customStyle="1">
    <w:name w:val="Grid Table 4 - Accent 3"/>
    <w:uiPriority w:val="59"/>
    <w:qFormat/>
    <w:pPr>
      <w:spacing w:after="0" w:line="240" w:lineRule="auto"/>
    </w:pPr>
    <w:tblPr/>
  </w:style>
  <w:style w:type="table" w:styleId="1052" w:customStyle="1">
    <w:name w:val="Grid Table 4 - Accent 4"/>
    <w:uiPriority w:val="59"/>
    <w:qFormat/>
    <w:pPr>
      <w:spacing w:after="0" w:line="240" w:lineRule="auto"/>
    </w:pPr>
    <w:tblPr/>
  </w:style>
  <w:style w:type="table" w:styleId="1053" w:customStyle="1">
    <w:name w:val="Grid Table 4 - Accent 5"/>
    <w:uiPriority w:val="59"/>
    <w:qFormat/>
    <w:pPr>
      <w:spacing w:after="0" w:line="240" w:lineRule="auto"/>
    </w:pPr>
    <w:tblPr/>
  </w:style>
  <w:style w:type="table" w:styleId="1054" w:customStyle="1">
    <w:name w:val="Grid Table 4 - Accent 6"/>
    <w:uiPriority w:val="59"/>
    <w:qFormat/>
    <w:pPr>
      <w:spacing w:after="0" w:line="240" w:lineRule="auto"/>
    </w:pPr>
    <w:tblPr/>
  </w:style>
  <w:style w:type="table" w:styleId="1055" w:customStyle="1">
    <w:name w:val="Grid Table 5 Dark"/>
    <w:uiPriority w:val="99"/>
    <w:qFormat/>
    <w:pPr>
      <w:spacing w:after="0" w:line="240" w:lineRule="auto"/>
    </w:pPr>
    <w:tblPr/>
  </w:style>
  <w:style w:type="table" w:styleId="1056" w:customStyle="1">
    <w:name w:val="Grid Table 5 Dark- Accent 1"/>
    <w:uiPriority w:val="99"/>
    <w:qFormat/>
    <w:pPr>
      <w:spacing w:after="0" w:line="240" w:lineRule="auto"/>
    </w:pPr>
    <w:tblPr/>
  </w:style>
  <w:style w:type="table" w:styleId="1057" w:customStyle="1">
    <w:name w:val="Grid Table 5 Dark - Accent 2"/>
    <w:uiPriority w:val="99"/>
    <w:qFormat/>
    <w:pPr>
      <w:spacing w:after="0" w:line="240" w:lineRule="auto"/>
    </w:pPr>
    <w:tblPr/>
  </w:style>
  <w:style w:type="table" w:styleId="1058" w:customStyle="1">
    <w:name w:val="Grid Table 5 Dark - Accent 3"/>
    <w:uiPriority w:val="99"/>
    <w:qFormat/>
    <w:pPr>
      <w:spacing w:after="0" w:line="240" w:lineRule="auto"/>
    </w:pPr>
    <w:tblPr/>
  </w:style>
  <w:style w:type="table" w:styleId="1059" w:customStyle="1">
    <w:name w:val="Grid Table 5 Dark- Accent 4"/>
    <w:uiPriority w:val="99"/>
    <w:qFormat/>
    <w:pPr>
      <w:spacing w:after="0" w:line="240" w:lineRule="auto"/>
    </w:pPr>
    <w:tblPr/>
  </w:style>
  <w:style w:type="table" w:styleId="1060" w:customStyle="1">
    <w:name w:val="Grid Table 5 Dark - Accent 5"/>
    <w:uiPriority w:val="99"/>
    <w:qFormat/>
    <w:pPr>
      <w:spacing w:after="0" w:line="240" w:lineRule="auto"/>
    </w:pPr>
    <w:tblPr/>
  </w:style>
  <w:style w:type="table" w:styleId="1061" w:customStyle="1">
    <w:name w:val="Grid Table 5 Dark - Accent 6"/>
    <w:uiPriority w:val="99"/>
    <w:qFormat/>
    <w:pPr>
      <w:spacing w:after="0" w:line="240" w:lineRule="auto"/>
    </w:pPr>
    <w:tblPr/>
  </w:style>
  <w:style w:type="table" w:styleId="1062" w:customStyle="1">
    <w:name w:val="Grid Table 6 Colorful"/>
    <w:uiPriority w:val="99"/>
    <w:qFormat/>
    <w:pPr>
      <w:spacing w:after="0" w:line="240" w:lineRule="auto"/>
    </w:pPr>
    <w:tblPr/>
  </w:style>
  <w:style w:type="table" w:styleId="1063" w:customStyle="1">
    <w:name w:val="Grid Table 6 Colorful - Accent 1"/>
    <w:uiPriority w:val="99"/>
    <w:qFormat/>
    <w:pPr>
      <w:spacing w:after="0" w:line="240" w:lineRule="auto"/>
    </w:pPr>
    <w:tblPr/>
  </w:style>
  <w:style w:type="table" w:styleId="1064" w:customStyle="1">
    <w:name w:val="Grid Table 6 Colorful - Accent 2"/>
    <w:uiPriority w:val="99"/>
    <w:qFormat/>
    <w:pPr>
      <w:spacing w:after="0" w:line="240" w:lineRule="auto"/>
    </w:pPr>
    <w:tblPr/>
  </w:style>
  <w:style w:type="table" w:styleId="1065" w:customStyle="1">
    <w:name w:val="Grid Table 6 Colorful - Accent 3"/>
    <w:uiPriority w:val="99"/>
    <w:qFormat/>
    <w:pPr>
      <w:spacing w:after="0" w:line="240" w:lineRule="auto"/>
    </w:pPr>
    <w:tblPr/>
  </w:style>
  <w:style w:type="table" w:styleId="1066" w:customStyle="1">
    <w:name w:val="Grid Table 6 Colorful - Accent 4"/>
    <w:uiPriority w:val="99"/>
    <w:qFormat/>
    <w:pPr>
      <w:spacing w:after="0" w:line="240" w:lineRule="auto"/>
    </w:pPr>
    <w:tblPr/>
  </w:style>
  <w:style w:type="table" w:styleId="1067" w:customStyle="1">
    <w:name w:val="Grid Table 6 Colorful - Accent 5"/>
    <w:uiPriority w:val="99"/>
    <w:qFormat/>
    <w:pPr>
      <w:spacing w:after="0" w:line="240" w:lineRule="auto"/>
    </w:pPr>
    <w:tblPr/>
  </w:style>
  <w:style w:type="table" w:styleId="1068" w:customStyle="1">
    <w:name w:val="Grid Table 6 Colorful - Accent 6"/>
    <w:uiPriority w:val="99"/>
    <w:qFormat/>
    <w:pPr>
      <w:spacing w:after="0" w:line="240" w:lineRule="auto"/>
    </w:pPr>
    <w:tblPr/>
  </w:style>
  <w:style w:type="table" w:styleId="1069" w:customStyle="1">
    <w:name w:val="Grid Table 7 Colorful"/>
    <w:uiPriority w:val="99"/>
    <w:qFormat/>
    <w:pPr>
      <w:spacing w:after="0" w:line="240" w:lineRule="auto"/>
    </w:pPr>
    <w:tblPr/>
  </w:style>
  <w:style w:type="table" w:styleId="1070" w:customStyle="1">
    <w:name w:val="Grid Table 7 Colorful - Accent 1"/>
    <w:uiPriority w:val="99"/>
    <w:qFormat/>
    <w:pPr>
      <w:spacing w:after="0" w:line="240" w:lineRule="auto"/>
    </w:pPr>
    <w:tblPr/>
  </w:style>
  <w:style w:type="table" w:styleId="1071" w:customStyle="1">
    <w:name w:val="Grid Table 7 Colorful - Accent 2"/>
    <w:uiPriority w:val="99"/>
    <w:qFormat/>
    <w:pPr>
      <w:spacing w:after="0" w:line="240" w:lineRule="auto"/>
    </w:pPr>
    <w:tblPr/>
  </w:style>
  <w:style w:type="table" w:styleId="1072" w:customStyle="1">
    <w:name w:val="Grid Table 7 Colorful - Accent 3"/>
    <w:uiPriority w:val="99"/>
    <w:qFormat/>
    <w:pPr>
      <w:spacing w:after="0" w:line="240" w:lineRule="auto"/>
    </w:pPr>
    <w:tblPr/>
  </w:style>
  <w:style w:type="table" w:styleId="1073" w:customStyle="1">
    <w:name w:val="Grid Table 7 Colorful - Accent 4"/>
    <w:uiPriority w:val="99"/>
    <w:qFormat/>
    <w:pPr>
      <w:spacing w:after="0" w:line="240" w:lineRule="auto"/>
    </w:pPr>
    <w:tblPr/>
  </w:style>
  <w:style w:type="table" w:styleId="1074" w:customStyle="1">
    <w:name w:val="Grid Table 7 Colorful - Accent 5"/>
    <w:uiPriority w:val="99"/>
    <w:qFormat/>
    <w:pPr>
      <w:spacing w:after="0" w:line="240" w:lineRule="auto"/>
    </w:pPr>
    <w:tblPr/>
  </w:style>
  <w:style w:type="table" w:styleId="1075" w:customStyle="1">
    <w:name w:val="Grid Table 7 Colorful - Accent 6"/>
    <w:uiPriority w:val="99"/>
    <w:qFormat/>
    <w:pPr>
      <w:spacing w:after="0" w:line="240" w:lineRule="auto"/>
    </w:pPr>
    <w:tblPr/>
  </w:style>
  <w:style w:type="table" w:styleId="1076" w:customStyle="1">
    <w:name w:val="List Table 1 Light"/>
    <w:uiPriority w:val="99"/>
    <w:qFormat/>
    <w:pPr>
      <w:spacing w:after="0" w:line="240" w:lineRule="auto"/>
    </w:pPr>
    <w:tblPr/>
  </w:style>
  <w:style w:type="table" w:styleId="1077" w:customStyle="1">
    <w:name w:val="List Table 1 Light - Accent 1"/>
    <w:uiPriority w:val="99"/>
    <w:qFormat/>
    <w:pPr>
      <w:spacing w:after="0" w:line="240" w:lineRule="auto"/>
    </w:pPr>
    <w:tblPr/>
  </w:style>
  <w:style w:type="table" w:styleId="1078" w:customStyle="1">
    <w:name w:val="List Table 1 Light - Accent 2"/>
    <w:uiPriority w:val="99"/>
    <w:qFormat/>
    <w:pPr>
      <w:spacing w:after="0" w:line="240" w:lineRule="auto"/>
    </w:pPr>
    <w:tblPr/>
  </w:style>
  <w:style w:type="table" w:styleId="1079" w:customStyle="1">
    <w:name w:val="List Table 1 Light - Accent 3"/>
    <w:uiPriority w:val="99"/>
    <w:qFormat/>
    <w:pPr>
      <w:spacing w:after="0" w:line="240" w:lineRule="auto"/>
    </w:pPr>
    <w:tblPr/>
  </w:style>
  <w:style w:type="table" w:styleId="1080" w:customStyle="1">
    <w:name w:val="List Table 1 Light - Accent 4"/>
    <w:uiPriority w:val="99"/>
    <w:qFormat/>
    <w:pPr>
      <w:spacing w:after="0" w:line="240" w:lineRule="auto"/>
    </w:pPr>
    <w:tblPr/>
  </w:style>
  <w:style w:type="table" w:styleId="1081" w:customStyle="1">
    <w:name w:val="List Table 1 Light - Accent 5"/>
    <w:uiPriority w:val="99"/>
    <w:qFormat/>
    <w:pPr>
      <w:spacing w:after="0" w:line="240" w:lineRule="auto"/>
    </w:pPr>
    <w:tblPr/>
  </w:style>
  <w:style w:type="table" w:styleId="1082" w:customStyle="1">
    <w:name w:val="List Table 1 Light - Accent 6"/>
    <w:uiPriority w:val="99"/>
    <w:qFormat/>
    <w:pPr>
      <w:spacing w:after="0" w:line="240" w:lineRule="auto"/>
    </w:pPr>
    <w:tblPr/>
  </w:style>
  <w:style w:type="table" w:styleId="1083" w:customStyle="1">
    <w:name w:val="List Table 2"/>
    <w:uiPriority w:val="99"/>
    <w:qFormat/>
    <w:pPr>
      <w:spacing w:after="0" w:line="240" w:lineRule="auto"/>
    </w:pPr>
    <w:tblPr/>
  </w:style>
  <w:style w:type="table" w:styleId="1084" w:customStyle="1">
    <w:name w:val="List Table 2 - Accent 1"/>
    <w:uiPriority w:val="99"/>
    <w:qFormat/>
    <w:pPr>
      <w:spacing w:after="0" w:line="240" w:lineRule="auto"/>
    </w:pPr>
    <w:tblPr/>
  </w:style>
  <w:style w:type="table" w:styleId="1085" w:customStyle="1">
    <w:name w:val="List Table 2 - Accent 2"/>
    <w:uiPriority w:val="99"/>
    <w:qFormat/>
    <w:pPr>
      <w:spacing w:after="0" w:line="240" w:lineRule="auto"/>
    </w:pPr>
    <w:tblPr/>
  </w:style>
  <w:style w:type="table" w:styleId="1086" w:customStyle="1">
    <w:name w:val="List Table 2 - Accent 3"/>
    <w:uiPriority w:val="99"/>
    <w:qFormat/>
    <w:pPr>
      <w:spacing w:after="0" w:line="240" w:lineRule="auto"/>
    </w:pPr>
    <w:tblPr/>
  </w:style>
  <w:style w:type="table" w:styleId="1087" w:customStyle="1">
    <w:name w:val="List Table 2 - Accent 4"/>
    <w:uiPriority w:val="99"/>
    <w:qFormat/>
    <w:pPr>
      <w:spacing w:after="0" w:line="240" w:lineRule="auto"/>
    </w:pPr>
    <w:tblPr/>
  </w:style>
  <w:style w:type="table" w:styleId="1088" w:customStyle="1">
    <w:name w:val="List Table 2 - Accent 5"/>
    <w:uiPriority w:val="99"/>
    <w:qFormat/>
    <w:pPr>
      <w:spacing w:after="0" w:line="240" w:lineRule="auto"/>
    </w:pPr>
    <w:tblPr/>
  </w:style>
  <w:style w:type="table" w:styleId="1089" w:customStyle="1">
    <w:name w:val="List Table 2 - Accent 6"/>
    <w:uiPriority w:val="99"/>
    <w:qFormat/>
    <w:pPr>
      <w:spacing w:after="0" w:line="240" w:lineRule="auto"/>
    </w:pPr>
    <w:tblPr/>
  </w:style>
  <w:style w:type="table" w:styleId="1090" w:customStyle="1">
    <w:name w:val="List Table 3"/>
    <w:uiPriority w:val="99"/>
    <w:qFormat/>
    <w:pPr>
      <w:spacing w:after="0" w:line="240" w:lineRule="auto"/>
    </w:pPr>
    <w:tblPr/>
  </w:style>
  <w:style w:type="table" w:styleId="1091" w:customStyle="1">
    <w:name w:val="List Table 3 - Accent 1"/>
    <w:uiPriority w:val="99"/>
    <w:qFormat/>
    <w:pPr>
      <w:spacing w:after="0" w:line="240" w:lineRule="auto"/>
    </w:pPr>
    <w:tblPr/>
  </w:style>
  <w:style w:type="table" w:styleId="1092" w:customStyle="1">
    <w:name w:val="List Table 3 - Accent 2"/>
    <w:uiPriority w:val="99"/>
    <w:qFormat/>
    <w:pPr>
      <w:spacing w:after="0" w:line="240" w:lineRule="auto"/>
    </w:pPr>
    <w:tblPr/>
  </w:style>
  <w:style w:type="table" w:styleId="1093" w:customStyle="1">
    <w:name w:val="List Table 3 - Accent 3"/>
    <w:uiPriority w:val="99"/>
    <w:qFormat/>
    <w:pPr>
      <w:spacing w:after="0" w:line="240" w:lineRule="auto"/>
    </w:pPr>
    <w:tblPr/>
  </w:style>
  <w:style w:type="table" w:styleId="1094" w:customStyle="1">
    <w:name w:val="List Table 3 - Accent 4"/>
    <w:uiPriority w:val="99"/>
    <w:qFormat/>
    <w:pPr>
      <w:spacing w:after="0" w:line="240" w:lineRule="auto"/>
    </w:pPr>
    <w:tblPr/>
  </w:style>
  <w:style w:type="table" w:styleId="1095" w:customStyle="1">
    <w:name w:val="List Table 3 - Accent 5"/>
    <w:uiPriority w:val="99"/>
    <w:qFormat/>
    <w:pPr>
      <w:spacing w:after="0" w:line="240" w:lineRule="auto"/>
    </w:pPr>
    <w:tblPr/>
  </w:style>
  <w:style w:type="table" w:styleId="1096" w:customStyle="1">
    <w:name w:val="List Table 3 - Accent 6"/>
    <w:uiPriority w:val="99"/>
    <w:qFormat/>
    <w:pPr>
      <w:spacing w:after="0" w:line="240" w:lineRule="auto"/>
    </w:pPr>
    <w:tblPr/>
  </w:style>
  <w:style w:type="table" w:styleId="1097" w:customStyle="1">
    <w:name w:val="List Table 4"/>
    <w:uiPriority w:val="99"/>
    <w:qFormat/>
    <w:pPr>
      <w:spacing w:after="0" w:line="240" w:lineRule="auto"/>
    </w:pPr>
    <w:tblPr/>
  </w:style>
  <w:style w:type="table" w:styleId="1098" w:customStyle="1">
    <w:name w:val="List Table 4 - Accent 1"/>
    <w:uiPriority w:val="99"/>
    <w:qFormat/>
    <w:pPr>
      <w:spacing w:after="0" w:line="240" w:lineRule="auto"/>
    </w:pPr>
    <w:tblPr/>
  </w:style>
  <w:style w:type="table" w:styleId="1099" w:customStyle="1">
    <w:name w:val="List Table 4 - Accent 2"/>
    <w:uiPriority w:val="99"/>
    <w:qFormat/>
    <w:pPr>
      <w:spacing w:after="0" w:line="240" w:lineRule="auto"/>
    </w:pPr>
    <w:tblPr/>
  </w:style>
  <w:style w:type="table" w:styleId="1100" w:customStyle="1">
    <w:name w:val="List Table 4 - Accent 3"/>
    <w:uiPriority w:val="99"/>
    <w:qFormat/>
    <w:pPr>
      <w:spacing w:after="0" w:line="240" w:lineRule="auto"/>
    </w:pPr>
    <w:tblPr/>
  </w:style>
  <w:style w:type="table" w:styleId="1101" w:customStyle="1">
    <w:name w:val="List Table 4 - Accent 4"/>
    <w:uiPriority w:val="99"/>
    <w:qFormat/>
    <w:pPr>
      <w:spacing w:after="0" w:line="240" w:lineRule="auto"/>
    </w:pPr>
    <w:tblPr/>
  </w:style>
  <w:style w:type="table" w:styleId="1102" w:customStyle="1">
    <w:name w:val="List Table 4 - Accent 5"/>
    <w:uiPriority w:val="99"/>
    <w:qFormat/>
    <w:pPr>
      <w:spacing w:after="0" w:line="240" w:lineRule="auto"/>
    </w:pPr>
    <w:tblPr/>
  </w:style>
  <w:style w:type="table" w:styleId="1103" w:customStyle="1">
    <w:name w:val="List Table 4 - Accent 6"/>
    <w:uiPriority w:val="99"/>
    <w:qFormat/>
    <w:pPr>
      <w:spacing w:after="0" w:line="240" w:lineRule="auto"/>
    </w:pPr>
    <w:tblPr/>
  </w:style>
  <w:style w:type="table" w:styleId="1104" w:customStyle="1">
    <w:name w:val="List Table 5 Dark"/>
    <w:uiPriority w:val="99"/>
    <w:qFormat/>
    <w:pPr>
      <w:spacing w:after="0" w:line="240" w:lineRule="auto"/>
    </w:pPr>
    <w:tblPr/>
  </w:style>
  <w:style w:type="table" w:styleId="1105" w:customStyle="1">
    <w:name w:val="List Table 5 Dark - Accent 1"/>
    <w:uiPriority w:val="99"/>
    <w:qFormat/>
    <w:pPr>
      <w:spacing w:after="0" w:line="240" w:lineRule="auto"/>
    </w:pPr>
    <w:tblPr/>
  </w:style>
  <w:style w:type="table" w:styleId="1106" w:customStyle="1">
    <w:name w:val="List Table 5 Dark - Accent 2"/>
    <w:uiPriority w:val="99"/>
    <w:qFormat/>
    <w:pPr>
      <w:spacing w:after="0" w:line="240" w:lineRule="auto"/>
    </w:pPr>
    <w:tblPr/>
  </w:style>
  <w:style w:type="table" w:styleId="1107" w:customStyle="1">
    <w:name w:val="List Table 5 Dark - Accent 3"/>
    <w:uiPriority w:val="99"/>
    <w:qFormat/>
    <w:pPr>
      <w:spacing w:after="0" w:line="240" w:lineRule="auto"/>
    </w:pPr>
    <w:tblPr/>
  </w:style>
  <w:style w:type="table" w:styleId="1108" w:customStyle="1">
    <w:name w:val="List Table 5 Dark - Accent 4"/>
    <w:uiPriority w:val="99"/>
    <w:qFormat/>
    <w:pPr>
      <w:spacing w:after="0" w:line="240" w:lineRule="auto"/>
    </w:pPr>
    <w:tblPr/>
  </w:style>
  <w:style w:type="table" w:styleId="1109" w:customStyle="1">
    <w:name w:val="List Table 5 Dark - Accent 5"/>
    <w:uiPriority w:val="99"/>
    <w:qFormat/>
    <w:pPr>
      <w:spacing w:after="0" w:line="240" w:lineRule="auto"/>
    </w:pPr>
    <w:tblPr/>
  </w:style>
  <w:style w:type="table" w:styleId="1110" w:customStyle="1">
    <w:name w:val="List Table 5 Dark - Accent 6"/>
    <w:uiPriority w:val="99"/>
    <w:qFormat/>
    <w:pPr>
      <w:spacing w:after="0" w:line="240" w:lineRule="auto"/>
    </w:pPr>
    <w:tblPr/>
  </w:style>
  <w:style w:type="table" w:styleId="1111" w:customStyle="1">
    <w:name w:val="List Table 6 Colorful"/>
    <w:uiPriority w:val="99"/>
    <w:qFormat/>
    <w:pPr>
      <w:spacing w:after="0" w:line="240" w:lineRule="auto"/>
    </w:pPr>
    <w:tblPr/>
  </w:style>
  <w:style w:type="table" w:styleId="1112" w:customStyle="1">
    <w:name w:val="List Table 6 Colorful - Accent 1"/>
    <w:uiPriority w:val="99"/>
    <w:qFormat/>
    <w:pPr>
      <w:spacing w:after="0" w:line="240" w:lineRule="auto"/>
    </w:pPr>
    <w:tblPr/>
  </w:style>
  <w:style w:type="table" w:styleId="1113" w:customStyle="1">
    <w:name w:val="List Table 6 Colorful - Accent 2"/>
    <w:uiPriority w:val="99"/>
    <w:qFormat/>
    <w:pPr>
      <w:spacing w:after="0" w:line="240" w:lineRule="auto"/>
    </w:pPr>
    <w:tblPr/>
  </w:style>
  <w:style w:type="table" w:styleId="1114" w:customStyle="1">
    <w:name w:val="List Table 6 Colorful - Accent 3"/>
    <w:uiPriority w:val="99"/>
    <w:qFormat/>
    <w:pPr>
      <w:spacing w:after="0" w:line="240" w:lineRule="auto"/>
    </w:pPr>
    <w:tblPr/>
  </w:style>
  <w:style w:type="table" w:styleId="1115" w:customStyle="1">
    <w:name w:val="List Table 6 Colorful - Accent 4"/>
    <w:uiPriority w:val="99"/>
    <w:qFormat/>
    <w:pPr>
      <w:spacing w:after="0" w:line="240" w:lineRule="auto"/>
    </w:pPr>
    <w:tblPr/>
  </w:style>
  <w:style w:type="table" w:styleId="1116" w:customStyle="1">
    <w:name w:val="List Table 6 Colorful - Accent 5"/>
    <w:uiPriority w:val="99"/>
    <w:qFormat/>
    <w:pPr>
      <w:spacing w:after="0" w:line="240" w:lineRule="auto"/>
    </w:pPr>
    <w:tblPr/>
  </w:style>
  <w:style w:type="table" w:styleId="1117" w:customStyle="1">
    <w:name w:val="List Table 6 Colorful - Accent 6"/>
    <w:uiPriority w:val="99"/>
    <w:qFormat/>
    <w:pPr>
      <w:spacing w:after="0" w:line="240" w:lineRule="auto"/>
    </w:pPr>
    <w:tblPr/>
  </w:style>
  <w:style w:type="table" w:styleId="1118" w:customStyle="1">
    <w:name w:val="List Table 7 Colorful"/>
    <w:uiPriority w:val="99"/>
    <w:qFormat/>
    <w:pPr>
      <w:spacing w:after="0" w:line="240" w:lineRule="auto"/>
    </w:pPr>
    <w:tblPr/>
  </w:style>
  <w:style w:type="table" w:styleId="1119" w:customStyle="1">
    <w:name w:val="List Table 7 Colorful - Accent 1"/>
    <w:uiPriority w:val="99"/>
    <w:qFormat/>
    <w:pPr>
      <w:spacing w:after="0" w:line="240" w:lineRule="auto"/>
    </w:pPr>
    <w:tblPr/>
  </w:style>
  <w:style w:type="table" w:styleId="1120" w:customStyle="1">
    <w:name w:val="List Table 7 Colorful - Accent 2"/>
    <w:uiPriority w:val="99"/>
    <w:qFormat/>
    <w:pPr>
      <w:spacing w:after="0" w:line="240" w:lineRule="auto"/>
    </w:pPr>
    <w:tblPr/>
  </w:style>
  <w:style w:type="table" w:styleId="1121" w:customStyle="1">
    <w:name w:val="List Table 7 Colorful - Accent 3"/>
    <w:uiPriority w:val="99"/>
    <w:qFormat/>
    <w:pPr>
      <w:spacing w:after="0" w:line="240" w:lineRule="auto"/>
    </w:pPr>
    <w:tblPr/>
  </w:style>
  <w:style w:type="table" w:styleId="1122" w:customStyle="1">
    <w:name w:val="List Table 7 Colorful - Accent 4"/>
    <w:uiPriority w:val="99"/>
    <w:qFormat/>
    <w:pPr>
      <w:spacing w:after="0" w:line="240" w:lineRule="auto"/>
    </w:pPr>
    <w:tblPr/>
  </w:style>
  <w:style w:type="table" w:styleId="1123" w:customStyle="1">
    <w:name w:val="List Table 7 Colorful - Accent 5"/>
    <w:uiPriority w:val="99"/>
    <w:qFormat/>
    <w:pPr>
      <w:spacing w:after="0" w:line="240" w:lineRule="auto"/>
    </w:pPr>
    <w:tblPr/>
  </w:style>
  <w:style w:type="table" w:styleId="1124" w:customStyle="1">
    <w:name w:val="List Table 7 Colorful - Accent 6"/>
    <w:uiPriority w:val="99"/>
    <w:qFormat/>
    <w:pPr>
      <w:spacing w:after="0" w:line="240" w:lineRule="auto"/>
    </w:pPr>
    <w:tblPr/>
  </w:style>
  <w:style w:type="table" w:styleId="1125" w:customStyle="1">
    <w:name w:val="Lined - Accent"/>
    <w:uiPriority w:val="99"/>
    <w:qFormat/>
    <w:pPr>
      <w:spacing w:after="0" w:line="240" w:lineRule="auto"/>
    </w:pPr>
    <w:rPr>
      <w:color w:val="404040"/>
    </w:rPr>
    <w:tblPr/>
  </w:style>
  <w:style w:type="table" w:styleId="1126" w:customStyle="1">
    <w:name w:val="Lined - Accent 1"/>
    <w:uiPriority w:val="99"/>
    <w:qFormat/>
    <w:pPr>
      <w:spacing w:after="0" w:line="240" w:lineRule="auto"/>
    </w:pPr>
    <w:rPr>
      <w:color w:val="404040"/>
    </w:rPr>
    <w:tblPr/>
  </w:style>
  <w:style w:type="table" w:styleId="1127" w:customStyle="1">
    <w:name w:val="Lined - Accent 2"/>
    <w:uiPriority w:val="99"/>
    <w:qFormat/>
    <w:pPr>
      <w:spacing w:after="0" w:line="240" w:lineRule="auto"/>
    </w:pPr>
    <w:rPr>
      <w:color w:val="404040"/>
    </w:rPr>
    <w:tblPr/>
  </w:style>
  <w:style w:type="table" w:styleId="1128" w:customStyle="1">
    <w:name w:val="Lined - Accent 3"/>
    <w:uiPriority w:val="99"/>
    <w:qFormat/>
    <w:pPr>
      <w:spacing w:after="0" w:line="240" w:lineRule="auto"/>
    </w:pPr>
    <w:rPr>
      <w:color w:val="404040"/>
    </w:rPr>
    <w:tblPr/>
  </w:style>
  <w:style w:type="table" w:styleId="1129" w:customStyle="1">
    <w:name w:val="Lined - Accent 4"/>
    <w:uiPriority w:val="99"/>
    <w:qFormat/>
    <w:pPr>
      <w:spacing w:after="0" w:line="240" w:lineRule="auto"/>
    </w:pPr>
    <w:rPr>
      <w:color w:val="404040"/>
    </w:rPr>
    <w:tblPr/>
  </w:style>
  <w:style w:type="table" w:styleId="1130" w:customStyle="1">
    <w:name w:val="Lined - Accent 5"/>
    <w:uiPriority w:val="99"/>
    <w:qFormat/>
    <w:pPr>
      <w:spacing w:after="0" w:line="240" w:lineRule="auto"/>
    </w:pPr>
    <w:rPr>
      <w:color w:val="404040"/>
    </w:rPr>
    <w:tblPr/>
  </w:style>
  <w:style w:type="table" w:styleId="1131" w:customStyle="1">
    <w:name w:val="Lined - Accent 6"/>
    <w:uiPriority w:val="99"/>
    <w:qFormat/>
    <w:pPr>
      <w:spacing w:after="0" w:line="240" w:lineRule="auto"/>
    </w:pPr>
    <w:rPr>
      <w:color w:val="404040"/>
    </w:rPr>
    <w:tblPr/>
  </w:style>
  <w:style w:type="table" w:styleId="1132" w:customStyle="1">
    <w:name w:val="Bordered &amp; Lined - Accent"/>
    <w:uiPriority w:val="99"/>
    <w:qFormat/>
    <w:pPr>
      <w:spacing w:after="0" w:line="240" w:lineRule="auto"/>
    </w:pPr>
    <w:rPr>
      <w:color w:val="404040"/>
    </w:rPr>
    <w:tblPr/>
  </w:style>
  <w:style w:type="table" w:styleId="1133" w:customStyle="1">
    <w:name w:val="Bordered &amp; Lined - Accent 1"/>
    <w:uiPriority w:val="99"/>
    <w:qFormat/>
    <w:pPr>
      <w:spacing w:after="0" w:line="240" w:lineRule="auto"/>
    </w:pPr>
    <w:rPr>
      <w:color w:val="404040"/>
    </w:rPr>
    <w:tblPr/>
  </w:style>
  <w:style w:type="table" w:styleId="1134" w:customStyle="1">
    <w:name w:val="Bordered &amp; Lined - Accent 2"/>
    <w:uiPriority w:val="99"/>
    <w:qFormat/>
    <w:pPr>
      <w:spacing w:after="0" w:line="240" w:lineRule="auto"/>
    </w:pPr>
    <w:rPr>
      <w:color w:val="404040"/>
    </w:rPr>
    <w:tblPr/>
  </w:style>
  <w:style w:type="table" w:styleId="1135" w:customStyle="1">
    <w:name w:val="Bordered &amp; Lined - Accent 3"/>
    <w:uiPriority w:val="99"/>
    <w:qFormat/>
    <w:pPr>
      <w:spacing w:after="0" w:line="240" w:lineRule="auto"/>
    </w:pPr>
    <w:rPr>
      <w:color w:val="404040"/>
    </w:rPr>
    <w:tblPr/>
  </w:style>
  <w:style w:type="table" w:styleId="1136" w:customStyle="1">
    <w:name w:val="Bordered &amp; Lined - Accent 4"/>
    <w:uiPriority w:val="99"/>
    <w:qFormat/>
    <w:pPr>
      <w:spacing w:after="0" w:line="240" w:lineRule="auto"/>
    </w:pPr>
    <w:rPr>
      <w:color w:val="404040"/>
    </w:rPr>
    <w:tblPr/>
  </w:style>
  <w:style w:type="table" w:styleId="1137" w:customStyle="1">
    <w:name w:val="Bordered &amp; Lined - Accent 5"/>
    <w:uiPriority w:val="99"/>
    <w:qFormat/>
    <w:pPr>
      <w:spacing w:after="0" w:line="240" w:lineRule="auto"/>
    </w:pPr>
    <w:rPr>
      <w:color w:val="404040"/>
    </w:rPr>
    <w:tblPr/>
  </w:style>
  <w:style w:type="table" w:styleId="1138" w:customStyle="1">
    <w:name w:val="Bordered &amp; Lined - Accent 6"/>
    <w:uiPriority w:val="99"/>
    <w:qFormat/>
    <w:pPr>
      <w:spacing w:after="0" w:line="240" w:lineRule="auto"/>
    </w:pPr>
    <w:rPr>
      <w:color w:val="404040"/>
    </w:rPr>
    <w:tblPr/>
  </w:style>
  <w:style w:type="table" w:styleId="1139" w:customStyle="1">
    <w:name w:val="Bordered"/>
    <w:uiPriority w:val="99"/>
    <w:qFormat/>
    <w:pPr>
      <w:spacing w:after="0" w:line="240" w:lineRule="auto"/>
    </w:pPr>
    <w:tblPr/>
  </w:style>
  <w:style w:type="table" w:styleId="1140" w:customStyle="1">
    <w:name w:val="Bordered - Accent 1"/>
    <w:uiPriority w:val="99"/>
    <w:qFormat/>
    <w:pPr>
      <w:spacing w:after="0" w:line="240" w:lineRule="auto"/>
    </w:pPr>
    <w:tblPr/>
  </w:style>
  <w:style w:type="table" w:styleId="1141" w:customStyle="1">
    <w:name w:val="Bordered - Accent 2"/>
    <w:uiPriority w:val="99"/>
    <w:qFormat/>
    <w:pPr>
      <w:spacing w:after="0" w:line="240" w:lineRule="auto"/>
    </w:pPr>
    <w:tblPr/>
  </w:style>
  <w:style w:type="table" w:styleId="1142" w:customStyle="1">
    <w:name w:val="Bordered - Accent 3"/>
    <w:uiPriority w:val="99"/>
    <w:qFormat/>
    <w:pPr>
      <w:spacing w:after="0" w:line="240" w:lineRule="auto"/>
    </w:pPr>
    <w:tblPr/>
  </w:style>
  <w:style w:type="table" w:styleId="1143" w:customStyle="1">
    <w:name w:val="Bordered - Accent 4"/>
    <w:uiPriority w:val="99"/>
    <w:qFormat/>
    <w:pPr>
      <w:spacing w:after="0" w:line="240" w:lineRule="auto"/>
    </w:pPr>
    <w:tblPr/>
  </w:style>
  <w:style w:type="table" w:styleId="1144" w:customStyle="1">
    <w:name w:val="Bordered - Accent 5"/>
    <w:uiPriority w:val="99"/>
    <w:qFormat/>
    <w:pPr>
      <w:spacing w:after="0" w:line="240" w:lineRule="auto"/>
    </w:pPr>
    <w:tblPr/>
  </w:style>
  <w:style w:type="table" w:styleId="1145" w:customStyle="1">
    <w:name w:val="Bordered - Accent 6"/>
    <w:uiPriority w:val="99"/>
    <w:qFormat/>
    <w:pPr>
      <w:spacing w:after="0" w:line="240" w:lineRule="auto"/>
    </w:pPr>
    <w:tblPr/>
  </w:style>
  <w:style w:type="paragraph" w:styleId="1146" w:customStyle="1">
    <w:name w:val="TOC Heading"/>
    <w:uiPriority w:val="39"/>
    <w:unhideWhenUsed/>
    <w:qFormat/>
    <w:rPr>
      <w:rFonts w:hint="default" w:ascii="Times New Roman" w:hAnsi="Times New Roman" w:eastAsia="宋体" w:cs="Times New Roman"/>
    </w:rPr>
  </w:style>
  <w:style w:type="paragraph" w:styleId="1147" w:customStyle="1">
    <w:name w:val="标题 11"/>
    <w:basedOn w:val="932"/>
    <w:next w:val="932"/>
    <w:link w:val="1148"/>
    <w:uiPriority w:val="0"/>
    <w:qFormat/>
    <w:pPr>
      <w:jc w:val="center"/>
      <w:keepNext/>
      <w:outlineLvl w:val="0"/>
    </w:pPr>
    <w:rPr>
      <w:rFonts w:ascii="楷体_GB2312" w:eastAsia="楷体_GB2312"/>
      <w:sz w:val="28"/>
      <w:szCs w:val="28"/>
    </w:rPr>
  </w:style>
  <w:style w:type="character" w:styleId="1148" w:customStyle="1">
    <w:name w:val="标题 1 字符"/>
    <w:link w:val="1147"/>
    <w:uiPriority w:val="0"/>
    <w:qFormat/>
    <w:rPr>
      <w:rFonts w:ascii="楷体_GB2312" w:hAnsi="Times New Roman" w:eastAsia="楷体_GB2312" w:cs="Times New Roman"/>
      <w:sz w:val="28"/>
      <w:szCs w:val="28"/>
    </w:rPr>
  </w:style>
  <w:style w:type="paragraph" w:styleId="1149" w:customStyle="1">
    <w:name w:val="标题 21"/>
    <w:basedOn w:val="932"/>
    <w:next w:val="1150"/>
    <w:link w:val="1151"/>
    <w:uiPriority w:val="0"/>
    <w:qFormat/>
    <w:pPr>
      <w:jc w:val="center"/>
      <w:keepLines/>
      <w:keepNext/>
      <w:spacing w:before="260" w:after="260" w:line="416" w:lineRule="auto"/>
      <w:outlineLvl w:val="1"/>
    </w:pPr>
    <w:rPr>
      <w:rFonts w:ascii="Arial" w:hAnsi="Arial" w:eastAsia="幼圆"/>
      <w:b/>
      <w:bCs/>
      <w:sz w:val="44"/>
      <w:szCs w:val="44"/>
    </w:rPr>
  </w:style>
  <w:style w:type="paragraph" w:styleId="1150" w:customStyle="1">
    <w:name w:val="正文缩进1"/>
    <w:basedOn w:val="932"/>
    <w:link w:val="1152"/>
    <w:uiPriority w:val="0"/>
    <w:qFormat/>
    <w:pPr>
      <w:ind w:firstLine="420"/>
    </w:pPr>
    <w:rPr>
      <w:sz w:val="20"/>
      <w:szCs w:val="21"/>
    </w:rPr>
  </w:style>
  <w:style w:type="character" w:styleId="1151" w:customStyle="1">
    <w:name w:val="标题 2 字符"/>
    <w:link w:val="1149"/>
    <w:uiPriority w:val="0"/>
    <w:qFormat/>
    <w:rPr>
      <w:rFonts w:ascii="Arial" w:hAnsi="Arial" w:eastAsia="幼圆" w:cs="Arial"/>
      <w:b/>
      <w:bCs/>
      <w:sz w:val="44"/>
      <w:szCs w:val="44"/>
    </w:rPr>
  </w:style>
  <w:style w:type="character" w:styleId="1152" w:customStyle="1">
    <w:name w:val="正文缩进 字符"/>
    <w:link w:val="1150"/>
    <w:uiPriority w:val="0"/>
    <w:qFormat/>
    <w:rPr>
      <w:szCs w:val="21"/>
    </w:rPr>
  </w:style>
  <w:style w:type="paragraph" w:styleId="1153" w:customStyle="1">
    <w:name w:val="标题 31"/>
    <w:basedOn w:val="932"/>
    <w:next w:val="1150"/>
    <w:link w:val="1154"/>
    <w:uiPriority w:val="0"/>
    <w:qFormat/>
    <w:pPr>
      <w:keepLines/>
      <w:keepNext/>
      <w:spacing w:before="260" w:after="260" w:line="416" w:lineRule="auto"/>
      <w:outlineLvl w:val="2"/>
    </w:pPr>
    <w:rPr>
      <w:b/>
      <w:bCs/>
      <w:sz w:val="32"/>
      <w:szCs w:val="32"/>
    </w:rPr>
  </w:style>
  <w:style w:type="character" w:styleId="1154" w:customStyle="1">
    <w:name w:val="标题 3 字符"/>
    <w:link w:val="1153"/>
    <w:uiPriority w:val="0"/>
    <w:qFormat/>
    <w:rPr>
      <w:rFonts w:ascii="Times New Roman" w:hAnsi="Times New Roman" w:eastAsia="宋体" w:cs="Times New Roman"/>
      <w:b/>
      <w:bCs/>
      <w:sz w:val="32"/>
      <w:szCs w:val="32"/>
    </w:rPr>
  </w:style>
  <w:style w:type="paragraph" w:styleId="1155" w:customStyle="1">
    <w:name w:val="标题 41"/>
    <w:basedOn w:val="932"/>
    <w:next w:val="1150"/>
    <w:link w:val="1156"/>
    <w:uiPriority w:val="0"/>
    <w:qFormat/>
    <w:pPr>
      <w:keepLines/>
      <w:keepNext/>
      <w:spacing w:before="280" w:after="290" w:line="376" w:lineRule="auto"/>
      <w:outlineLvl w:val="3"/>
    </w:pPr>
    <w:rPr>
      <w:rFonts w:ascii="Arial" w:hAnsi="Arial" w:eastAsia="黑体"/>
      <w:b/>
      <w:bCs/>
      <w:sz w:val="28"/>
      <w:szCs w:val="28"/>
    </w:rPr>
  </w:style>
  <w:style w:type="character" w:styleId="1156" w:customStyle="1">
    <w:name w:val="标题 4 字符"/>
    <w:link w:val="1155"/>
    <w:uiPriority w:val="0"/>
    <w:qFormat/>
    <w:rPr>
      <w:rFonts w:ascii="Arial" w:hAnsi="Arial" w:eastAsia="黑体" w:cs="Arial"/>
      <w:b/>
      <w:bCs/>
      <w:sz w:val="28"/>
      <w:szCs w:val="28"/>
    </w:rPr>
  </w:style>
  <w:style w:type="paragraph" w:styleId="1157" w:customStyle="1">
    <w:name w:val="标题 51"/>
    <w:basedOn w:val="932"/>
    <w:next w:val="1150"/>
    <w:link w:val="1158"/>
    <w:uiPriority w:val="0"/>
    <w:qFormat/>
    <w:pPr>
      <w:keepNext/>
      <w:outlineLvl w:val="4"/>
    </w:pPr>
    <w:rPr>
      <w:rFonts w:ascii="宋体"/>
      <w:color w:val="000000"/>
      <w:sz w:val="28"/>
      <w:szCs w:val="28"/>
    </w:rPr>
  </w:style>
  <w:style w:type="character" w:styleId="1158" w:customStyle="1">
    <w:name w:val="标题 5 字符"/>
    <w:link w:val="1157"/>
    <w:uiPriority w:val="0"/>
    <w:qFormat/>
    <w:rPr>
      <w:rFonts w:ascii="宋体" w:hAnsi="Times New Roman" w:eastAsia="宋体" w:cs="Times New Roman"/>
      <w:color w:val="000000"/>
      <w:sz w:val="28"/>
      <w:szCs w:val="28"/>
    </w:rPr>
  </w:style>
  <w:style w:type="paragraph" w:styleId="1159" w:customStyle="1">
    <w:name w:val="标题 61"/>
    <w:basedOn w:val="932"/>
    <w:next w:val="932"/>
    <w:link w:val="1160"/>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60" w:customStyle="1">
    <w:name w:val="标题 6 字符"/>
    <w:link w:val="1159"/>
    <w:uiPriority w:val="0"/>
    <w:qFormat/>
    <w:rPr>
      <w:rFonts w:ascii="Arial" w:hAnsi="Arial" w:eastAsia="黑体" w:cs="Times New Roman"/>
      <w:b/>
      <w:bCs/>
      <w:sz w:val="24"/>
      <w:szCs w:val="24"/>
    </w:rPr>
  </w:style>
  <w:style w:type="paragraph" w:styleId="1161" w:customStyle="1">
    <w:name w:val="标题 71"/>
    <w:basedOn w:val="932"/>
    <w:next w:val="932"/>
    <w:link w:val="1162"/>
    <w:uiPriority w:val="0"/>
    <w:qFormat/>
    <w:pPr>
      <w:numPr>
        <w:ilvl w:val="6"/>
        <w:numId w:val="2"/>
      </w:numPr>
      <w:keepLines/>
      <w:keepNext/>
      <w:spacing w:before="240" w:after="64" w:line="320" w:lineRule="auto"/>
      <w:outlineLvl w:val="6"/>
    </w:pPr>
    <w:rPr>
      <w:b/>
      <w:bCs/>
      <w:sz w:val="24"/>
      <w:szCs w:val="24"/>
    </w:rPr>
  </w:style>
  <w:style w:type="character" w:styleId="1162" w:customStyle="1">
    <w:name w:val="标题 7 字符"/>
    <w:link w:val="1161"/>
    <w:uiPriority w:val="0"/>
    <w:qFormat/>
    <w:rPr>
      <w:rFonts w:ascii="Times New Roman" w:hAnsi="Times New Roman" w:eastAsia="宋体" w:cs="Times New Roman"/>
      <w:b/>
      <w:bCs/>
      <w:sz w:val="24"/>
      <w:szCs w:val="24"/>
    </w:rPr>
  </w:style>
  <w:style w:type="paragraph" w:styleId="1163" w:customStyle="1">
    <w:name w:val="标题 81"/>
    <w:basedOn w:val="932"/>
    <w:next w:val="932"/>
    <w:link w:val="1164"/>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64" w:customStyle="1">
    <w:name w:val="标题 8 字符"/>
    <w:link w:val="1163"/>
    <w:uiPriority w:val="0"/>
    <w:qFormat/>
    <w:rPr>
      <w:rFonts w:ascii="Arial" w:hAnsi="Arial" w:eastAsia="黑体" w:cs="Times New Roman"/>
      <w:sz w:val="24"/>
      <w:szCs w:val="24"/>
    </w:rPr>
  </w:style>
  <w:style w:type="paragraph" w:styleId="1165" w:customStyle="1">
    <w:name w:val="标题 91"/>
    <w:basedOn w:val="932"/>
    <w:next w:val="932"/>
    <w:link w:val="1166"/>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66" w:customStyle="1">
    <w:name w:val="标题 9 字符"/>
    <w:link w:val="1165"/>
    <w:uiPriority w:val="0"/>
    <w:qFormat/>
    <w:rPr>
      <w:rFonts w:ascii="Arial" w:hAnsi="Arial" w:eastAsia="黑体" w:cs="Times New Roman"/>
      <w:szCs w:val="21"/>
    </w:rPr>
  </w:style>
  <w:style w:type="character" w:styleId="1167" w:customStyle="1">
    <w:name w:val="默认段落字体1"/>
    <w:link w:val="932"/>
    <w:uiPriority w:val="1"/>
    <w:unhideWhenUsed/>
    <w:qFormat/>
  </w:style>
  <w:style w:type="table" w:styleId="1168" w:customStyle="1">
    <w:name w:val="普通表格1"/>
    <w:uiPriority w:val="99"/>
    <w:unhideWhenUsed/>
    <w:qFormat/>
    <w:tblPr/>
  </w:style>
  <w:style w:type="paragraph" w:styleId="1169" w:customStyle="1">
    <w:name w:val="列表 31"/>
    <w:basedOn w:val="932"/>
    <w:uiPriority w:val="0"/>
    <w:qFormat/>
    <w:pPr>
      <w:ind w:left="100" w:hanging="200"/>
    </w:pPr>
    <w:rPr>
      <w:rFonts w:ascii="Times New Roman" w:hAnsi="Times New Roman" w:eastAsia="宋体" w:cs="Times New Roman"/>
      <w:szCs w:val="21"/>
    </w:rPr>
  </w:style>
  <w:style w:type="paragraph" w:styleId="1170" w:customStyle="1">
    <w:name w:val="目录 71"/>
    <w:basedOn w:val="932"/>
    <w:next w:val="932"/>
    <w:uiPriority w:val="0"/>
    <w:semiHidden/>
    <w:qFormat/>
    <w:pPr>
      <w:ind w:left="1260"/>
      <w:jc w:val="left"/>
    </w:pPr>
    <w:rPr>
      <w:rFonts w:ascii="Times New Roman" w:hAnsi="Times New Roman" w:eastAsia="宋体" w:cs="Times New Roman"/>
      <w:szCs w:val="21"/>
    </w:rPr>
  </w:style>
  <w:style w:type="paragraph" w:styleId="1171" w:customStyle="1">
    <w:name w:val="文档结构图1"/>
    <w:basedOn w:val="932"/>
    <w:link w:val="1172"/>
    <w:uiPriority w:val="0"/>
    <w:semiHidden/>
    <w:qFormat/>
    <w:pPr>
      <w:shd w:val="clear" w:color="auto" w:fill="000080"/>
    </w:pPr>
    <w:rPr>
      <w:sz w:val="20"/>
      <w:szCs w:val="21"/>
    </w:rPr>
  </w:style>
  <w:style w:type="character" w:styleId="1172" w:customStyle="1">
    <w:name w:val="文档结构图 字符"/>
    <w:link w:val="1171"/>
    <w:uiPriority w:val="0"/>
    <w:semiHidden/>
    <w:qFormat/>
    <w:rPr>
      <w:rFonts w:ascii="Times New Roman" w:hAnsi="Times New Roman" w:eastAsia="宋体" w:cs="Times New Roman"/>
      <w:szCs w:val="21"/>
      <w:shd w:val="clear" w:color="auto" w:fill="000080"/>
    </w:rPr>
  </w:style>
  <w:style w:type="paragraph" w:styleId="1173" w:customStyle="1">
    <w:name w:val="批注文字1"/>
    <w:basedOn w:val="932"/>
    <w:link w:val="1174"/>
    <w:uiPriority w:val="99"/>
    <w:unhideWhenUsed/>
    <w:qFormat/>
    <w:pPr>
      <w:jc w:val="left"/>
    </w:pPr>
  </w:style>
  <w:style w:type="character" w:styleId="1174" w:customStyle="1">
    <w:name w:val="批注文字 字符"/>
    <w:link w:val="1173"/>
    <w:uiPriority w:val="99"/>
    <w:semiHidden/>
    <w:qFormat/>
  </w:style>
  <w:style w:type="paragraph" w:styleId="1175" w:customStyle="1">
    <w:name w:val="正文文本 31"/>
    <w:basedOn w:val="932"/>
    <w:link w:val="1176"/>
    <w:uiPriority w:val="0"/>
    <w:qFormat/>
    <w:rPr>
      <w:rFonts w:ascii="仿宋_GB2312" w:hAnsi="Arial" w:eastAsia="仿宋_GB2312"/>
      <w:sz w:val="32"/>
      <w:szCs w:val="32"/>
    </w:rPr>
  </w:style>
  <w:style w:type="character" w:styleId="1176" w:customStyle="1">
    <w:name w:val="正文文本 3 字符"/>
    <w:link w:val="1175"/>
    <w:uiPriority w:val="0"/>
    <w:qFormat/>
    <w:rPr>
      <w:rFonts w:ascii="仿宋_GB2312" w:hAnsi="Arial" w:eastAsia="仿宋_GB2312" w:cs="Times New Roman"/>
      <w:sz w:val="32"/>
      <w:szCs w:val="32"/>
    </w:rPr>
  </w:style>
  <w:style w:type="paragraph" w:styleId="1177" w:customStyle="1">
    <w:name w:val="正文文本缩进1"/>
    <w:basedOn w:val="932"/>
    <w:link w:val="1178"/>
    <w:uiPriority w:val="99"/>
    <w:unhideWhenUsed/>
    <w:qFormat/>
    <w:pPr>
      <w:ind w:left="420"/>
      <w:spacing w:after="120"/>
    </w:pPr>
  </w:style>
  <w:style w:type="character" w:styleId="1178" w:customStyle="1">
    <w:name w:val="正文文本缩进 字符"/>
    <w:link w:val="1177"/>
    <w:uiPriority w:val="99"/>
    <w:semiHidden/>
    <w:qFormat/>
  </w:style>
  <w:style w:type="paragraph" w:styleId="1179" w:customStyle="1">
    <w:name w:val="列表 21"/>
    <w:basedOn w:val="932"/>
    <w:uiPriority w:val="0"/>
    <w:qFormat/>
    <w:pPr>
      <w:ind w:left="100" w:hanging="200"/>
    </w:pPr>
    <w:rPr>
      <w:rFonts w:ascii="Times New Roman" w:hAnsi="Times New Roman" w:eastAsia="宋体" w:cs="Times New Roman"/>
      <w:szCs w:val="21"/>
    </w:rPr>
  </w:style>
  <w:style w:type="paragraph" w:styleId="1180" w:customStyle="1">
    <w:name w:val="目录 51"/>
    <w:basedOn w:val="932"/>
    <w:next w:val="932"/>
    <w:uiPriority w:val="0"/>
    <w:semiHidden/>
    <w:qFormat/>
    <w:pPr>
      <w:ind w:left="840"/>
      <w:jc w:val="left"/>
    </w:pPr>
    <w:rPr>
      <w:rFonts w:ascii="Times New Roman" w:hAnsi="Times New Roman" w:eastAsia="宋体" w:cs="Times New Roman"/>
      <w:szCs w:val="21"/>
    </w:rPr>
  </w:style>
  <w:style w:type="paragraph" w:styleId="1181" w:customStyle="1">
    <w:name w:val="目录 31"/>
    <w:basedOn w:val="932"/>
    <w:next w:val="932"/>
    <w:uiPriority w:val="0"/>
    <w:semiHidden/>
    <w:qFormat/>
    <w:pPr>
      <w:ind w:left="420"/>
      <w:jc w:val="left"/>
    </w:pPr>
    <w:rPr>
      <w:rFonts w:ascii="Times New Roman" w:hAnsi="Times New Roman" w:eastAsia="宋体" w:cs="Times New Roman"/>
      <w:i/>
      <w:iCs/>
      <w:szCs w:val="24"/>
    </w:rPr>
  </w:style>
  <w:style w:type="paragraph" w:styleId="1182" w:customStyle="1">
    <w:name w:val="纯文本1"/>
    <w:basedOn w:val="932"/>
    <w:link w:val="1183"/>
    <w:uiPriority w:val="0"/>
    <w:qFormat/>
    <w:rPr>
      <w:rFonts w:ascii="宋体" w:hAnsi="Courier New"/>
      <w:sz w:val="20"/>
      <w:szCs w:val="21"/>
    </w:rPr>
  </w:style>
  <w:style w:type="character" w:styleId="1183" w:customStyle="1">
    <w:name w:val="纯文本 字符"/>
    <w:link w:val="1182"/>
    <w:uiPriority w:val="0"/>
    <w:qFormat/>
    <w:rPr>
      <w:rFonts w:ascii="宋体" w:hAnsi="Courier New" w:eastAsia="宋体" w:cs="Courier New"/>
      <w:szCs w:val="21"/>
    </w:rPr>
  </w:style>
  <w:style w:type="paragraph" w:styleId="1184" w:customStyle="1">
    <w:name w:val="目录 81"/>
    <w:basedOn w:val="932"/>
    <w:next w:val="932"/>
    <w:uiPriority w:val="0"/>
    <w:semiHidden/>
    <w:qFormat/>
    <w:pPr>
      <w:ind w:left="1470"/>
      <w:jc w:val="left"/>
    </w:pPr>
    <w:rPr>
      <w:rFonts w:ascii="Times New Roman" w:hAnsi="Times New Roman" w:eastAsia="宋体" w:cs="Times New Roman"/>
      <w:szCs w:val="21"/>
    </w:rPr>
  </w:style>
  <w:style w:type="paragraph" w:styleId="1185" w:customStyle="1">
    <w:name w:val="日期1"/>
    <w:basedOn w:val="932"/>
    <w:next w:val="932"/>
    <w:link w:val="1186"/>
    <w:uiPriority w:val="0"/>
    <w:qFormat/>
    <w:rPr>
      <w:sz w:val="24"/>
      <w:szCs w:val="24"/>
    </w:rPr>
  </w:style>
  <w:style w:type="character" w:styleId="1186" w:customStyle="1">
    <w:name w:val="日期 字符"/>
    <w:link w:val="1185"/>
    <w:uiPriority w:val="0"/>
    <w:qFormat/>
    <w:rPr>
      <w:rFonts w:ascii="Times New Roman" w:hAnsi="Times New Roman" w:eastAsia="宋体" w:cs="Times New Roman"/>
      <w:sz w:val="24"/>
      <w:szCs w:val="24"/>
    </w:rPr>
  </w:style>
  <w:style w:type="paragraph" w:styleId="1187" w:customStyle="1">
    <w:name w:val="正文文本缩进 21"/>
    <w:basedOn w:val="932"/>
    <w:link w:val="1188"/>
    <w:uiPriority w:val="0"/>
    <w:qFormat/>
    <w:pPr>
      <w:ind w:left="630" w:firstLine="645"/>
    </w:pPr>
    <w:rPr>
      <w:rFonts w:ascii="Arial" w:hAnsi="Arial" w:eastAsia="仿宋_GB2312"/>
      <w:sz w:val="32"/>
      <w:szCs w:val="32"/>
    </w:rPr>
  </w:style>
  <w:style w:type="character" w:styleId="1188" w:customStyle="1">
    <w:name w:val="正文文本缩进 2 字符"/>
    <w:link w:val="1187"/>
    <w:uiPriority w:val="0"/>
    <w:qFormat/>
    <w:rPr>
      <w:rFonts w:ascii="Arial" w:hAnsi="Arial" w:eastAsia="仿宋_GB2312" w:cs="Arial"/>
      <w:sz w:val="32"/>
      <w:szCs w:val="32"/>
    </w:rPr>
  </w:style>
  <w:style w:type="paragraph" w:styleId="1189" w:customStyle="1">
    <w:name w:val="批注框文本1"/>
    <w:basedOn w:val="932"/>
    <w:link w:val="1190"/>
    <w:uiPriority w:val="0"/>
    <w:semiHidden/>
    <w:qFormat/>
    <w:rPr>
      <w:sz w:val="18"/>
      <w:szCs w:val="18"/>
    </w:rPr>
  </w:style>
  <w:style w:type="character" w:styleId="1190" w:customStyle="1">
    <w:name w:val="批注框文本 字符"/>
    <w:link w:val="1189"/>
    <w:uiPriority w:val="0"/>
    <w:semiHidden/>
    <w:qFormat/>
    <w:rPr>
      <w:rFonts w:ascii="Times New Roman" w:hAnsi="Times New Roman" w:eastAsia="宋体" w:cs="Times New Roman"/>
      <w:sz w:val="18"/>
      <w:szCs w:val="18"/>
    </w:rPr>
  </w:style>
  <w:style w:type="paragraph" w:styleId="1191" w:customStyle="1">
    <w:name w:val="页脚1"/>
    <w:basedOn w:val="932"/>
    <w:link w:val="1192"/>
    <w:uiPriority w:val="99"/>
    <w:qFormat/>
    <w:pPr>
      <w:jc w:val="left"/>
      <w:tabs>
        <w:tab w:val="center" w:pos="4153" w:leader="none"/>
        <w:tab w:val="right" w:pos="8306" w:leader="none"/>
      </w:tabs>
    </w:pPr>
    <w:rPr>
      <w:sz w:val="18"/>
      <w:szCs w:val="18"/>
    </w:rPr>
  </w:style>
  <w:style w:type="character" w:styleId="1192" w:customStyle="1">
    <w:name w:val="页脚 字符"/>
    <w:link w:val="1191"/>
    <w:uiPriority w:val="99"/>
    <w:qFormat/>
    <w:rPr>
      <w:rFonts w:ascii="Times New Roman" w:hAnsi="Times New Roman" w:eastAsia="宋体" w:cs="Times New Roman"/>
      <w:sz w:val="18"/>
      <w:szCs w:val="18"/>
    </w:rPr>
  </w:style>
  <w:style w:type="paragraph" w:styleId="1193" w:customStyle="1">
    <w:name w:val="页眉1"/>
    <w:basedOn w:val="932"/>
    <w:link w:val="1194"/>
    <w:uiPriority w:val="99"/>
    <w:qFormat/>
    <w:pPr>
      <w:jc w:val="center"/>
      <w:tabs>
        <w:tab w:val="center" w:pos="4153" w:leader="none"/>
        <w:tab w:val="right" w:pos="8306" w:leader="none"/>
      </w:tabs>
      <w:pBdr>
        <w:bottom w:val="single" w:color="000000" w:sz="6" w:space="1"/>
      </w:pBdr>
    </w:pPr>
    <w:rPr>
      <w:sz w:val="18"/>
      <w:szCs w:val="18"/>
    </w:rPr>
  </w:style>
  <w:style w:type="character" w:styleId="1194" w:customStyle="1">
    <w:name w:val="页眉 字符"/>
    <w:link w:val="1193"/>
    <w:uiPriority w:val="99"/>
    <w:qFormat/>
    <w:rPr>
      <w:rFonts w:ascii="Times New Roman" w:hAnsi="Times New Roman" w:eastAsia="宋体" w:cs="Times New Roman"/>
      <w:sz w:val="18"/>
      <w:szCs w:val="18"/>
    </w:rPr>
  </w:style>
  <w:style w:type="paragraph" w:styleId="1195" w:customStyle="1">
    <w:name w:val="目录 11"/>
    <w:basedOn w:val="932"/>
    <w:next w:val="932"/>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96" w:customStyle="1">
    <w:name w:val="目录 41"/>
    <w:basedOn w:val="932"/>
    <w:next w:val="932"/>
    <w:uiPriority w:val="0"/>
    <w:semiHidden/>
    <w:qFormat/>
    <w:pPr>
      <w:ind w:left="630"/>
      <w:jc w:val="left"/>
    </w:pPr>
    <w:rPr>
      <w:rFonts w:ascii="Times New Roman" w:hAnsi="Times New Roman" w:eastAsia="宋体" w:cs="Times New Roman"/>
      <w:szCs w:val="21"/>
    </w:rPr>
  </w:style>
  <w:style w:type="paragraph" w:styleId="1197" w:customStyle="1">
    <w:name w:val="列表1"/>
    <w:basedOn w:val="932"/>
    <w:uiPriority w:val="0"/>
    <w:qFormat/>
    <w:pPr>
      <w:ind w:left="200" w:hanging="200"/>
    </w:pPr>
    <w:rPr>
      <w:rFonts w:ascii="Times New Roman" w:hAnsi="Times New Roman" w:eastAsia="宋体" w:cs="Times New Roman"/>
      <w:szCs w:val="21"/>
    </w:rPr>
  </w:style>
  <w:style w:type="paragraph" w:styleId="1198" w:customStyle="1">
    <w:name w:val="目录 61"/>
    <w:basedOn w:val="932"/>
    <w:next w:val="932"/>
    <w:uiPriority w:val="0"/>
    <w:semiHidden/>
    <w:qFormat/>
    <w:pPr>
      <w:ind w:left="1050"/>
      <w:jc w:val="left"/>
    </w:pPr>
    <w:rPr>
      <w:rFonts w:ascii="Times New Roman" w:hAnsi="Times New Roman" w:eastAsia="宋体" w:cs="Times New Roman"/>
      <w:szCs w:val="21"/>
    </w:rPr>
  </w:style>
  <w:style w:type="paragraph" w:styleId="1199" w:customStyle="1">
    <w:name w:val="正文文本缩进 31"/>
    <w:basedOn w:val="932"/>
    <w:link w:val="1200"/>
    <w:uiPriority w:val="0"/>
    <w:qFormat/>
    <w:pPr>
      <w:ind w:left="645" w:firstLine="645"/>
    </w:pPr>
    <w:rPr>
      <w:rFonts w:ascii="Arial" w:hAnsi="Arial" w:eastAsia="仿宋_GB2312"/>
      <w:color w:val="ffff00"/>
      <w:sz w:val="32"/>
      <w:szCs w:val="32"/>
    </w:rPr>
  </w:style>
  <w:style w:type="character" w:styleId="1200" w:customStyle="1">
    <w:name w:val="正文文本缩进 3 字符"/>
    <w:link w:val="1199"/>
    <w:uiPriority w:val="0"/>
    <w:qFormat/>
    <w:rPr>
      <w:rFonts w:ascii="Arial" w:hAnsi="Arial" w:eastAsia="仿宋_GB2312" w:cs="Arial"/>
      <w:color w:val="ffff00"/>
      <w:sz w:val="32"/>
      <w:szCs w:val="32"/>
    </w:rPr>
  </w:style>
  <w:style w:type="paragraph" w:styleId="1201" w:customStyle="1">
    <w:name w:val="图表目录1"/>
    <w:basedOn w:val="932"/>
    <w:next w:val="932"/>
    <w:uiPriority w:val="0"/>
    <w:semiHidden/>
    <w:qFormat/>
    <w:pPr>
      <w:ind w:left="840" w:hanging="420"/>
    </w:pPr>
    <w:rPr>
      <w:rFonts w:ascii="Times New Roman" w:hAnsi="Times New Roman" w:eastAsia="宋体" w:cs="Times New Roman"/>
      <w:szCs w:val="21"/>
    </w:rPr>
  </w:style>
  <w:style w:type="paragraph" w:styleId="1202" w:customStyle="1">
    <w:name w:val="目录 21"/>
    <w:basedOn w:val="932"/>
    <w:next w:val="932"/>
    <w:uiPriority w:val="0"/>
    <w:semiHidden/>
    <w:qFormat/>
    <w:pPr>
      <w:ind w:left="210"/>
      <w:jc w:val="left"/>
    </w:pPr>
    <w:rPr>
      <w:rFonts w:ascii="Times New Roman" w:hAnsi="Times New Roman" w:eastAsia="宋体" w:cs="Times New Roman"/>
      <w:smallCaps/>
      <w:szCs w:val="24"/>
    </w:rPr>
  </w:style>
  <w:style w:type="paragraph" w:styleId="1203" w:customStyle="1">
    <w:name w:val="目录 91"/>
    <w:basedOn w:val="932"/>
    <w:next w:val="932"/>
    <w:uiPriority w:val="0"/>
    <w:semiHidden/>
    <w:qFormat/>
    <w:pPr>
      <w:ind w:left="1680"/>
      <w:jc w:val="left"/>
    </w:pPr>
    <w:rPr>
      <w:rFonts w:ascii="Times New Roman" w:hAnsi="Times New Roman" w:eastAsia="宋体" w:cs="Times New Roman"/>
      <w:szCs w:val="21"/>
    </w:rPr>
  </w:style>
  <w:style w:type="paragraph" w:styleId="1204" w:customStyle="1">
    <w:name w:val="正文文本 21"/>
    <w:basedOn w:val="932"/>
    <w:link w:val="1205"/>
    <w:uiPriority w:val="0"/>
    <w:qFormat/>
    <w:pPr>
      <w:jc w:val="center"/>
      <w:widowControl/>
    </w:pPr>
    <w:rPr>
      <w:rFonts w:ascii="楷体_GB2312" w:eastAsia="楷体_GB2312"/>
      <w:sz w:val="28"/>
      <w:szCs w:val="28"/>
    </w:rPr>
  </w:style>
  <w:style w:type="character" w:styleId="1205" w:customStyle="1">
    <w:name w:val="正文文本 2 字符"/>
    <w:link w:val="1204"/>
    <w:uiPriority w:val="0"/>
    <w:qFormat/>
    <w:rPr>
      <w:rFonts w:ascii="楷体_GB2312" w:hAnsi="Times New Roman" w:eastAsia="楷体_GB2312" w:cs="Times New Roman"/>
      <w:sz w:val="28"/>
      <w:szCs w:val="28"/>
    </w:rPr>
  </w:style>
  <w:style w:type="paragraph" w:styleId="1206" w:customStyle="1">
    <w:name w:val="普通(网站)1"/>
    <w:basedOn w:val="932"/>
    <w:uiPriority w:val="99"/>
    <w:qFormat/>
    <w:pPr>
      <w:jc w:val="left"/>
      <w:spacing w:before="100" w:beforeAutospacing="1" w:after="100" w:afterAutospacing="1"/>
      <w:widowControl/>
    </w:pPr>
    <w:rPr>
      <w:rFonts w:ascii="宋体" w:hAnsi="宋体" w:eastAsia="宋体" w:cs="宋体"/>
      <w:sz w:val="24"/>
      <w:szCs w:val="24"/>
    </w:rPr>
  </w:style>
  <w:style w:type="paragraph" w:styleId="1207" w:customStyle="1">
    <w:name w:val="索引 11"/>
    <w:basedOn w:val="932"/>
    <w:next w:val="932"/>
    <w:uiPriority w:val="0"/>
    <w:semiHidden/>
    <w:qFormat/>
    <w:pPr>
      <w:spacing w:line="240" w:lineRule="atLeast"/>
    </w:pPr>
    <w:rPr>
      <w:rFonts w:ascii="Times New Roman" w:hAnsi="Times New Roman" w:eastAsia="宋体" w:cs="Times New Roman"/>
      <w:b/>
      <w:bCs/>
      <w:szCs w:val="21"/>
    </w:rPr>
  </w:style>
  <w:style w:type="paragraph" w:styleId="1208" w:customStyle="1">
    <w:name w:val="批注主题1"/>
    <w:basedOn w:val="1173"/>
    <w:next w:val="1173"/>
    <w:link w:val="1209"/>
    <w:uiPriority w:val="0"/>
    <w:semiHidden/>
    <w:qFormat/>
    <w:rPr>
      <w:b/>
      <w:bCs/>
      <w:sz w:val="20"/>
      <w:szCs w:val="21"/>
    </w:rPr>
  </w:style>
  <w:style w:type="character" w:styleId="1209" w:customStyle="1">
    <w:name w:val="批注主题 字符"/>
    <w:link w:val="1208"/>
    <w:uiPriority w:val="0"/>
    <w:semiHidden/>
    <w:qFormat/>
    <w:rPr>
      <w:rFonts w:ascii="Times New Roman" w:hAnsi="Times New Roman" w:eastAsia="宋体" w:cs="Times New Roman"/>
      <w:b/>
      <w:bCs/>
      <w:szCs w:val="21"/>
    </w:rPr>
  </w:style>
  <w:style w:type="paragraph" w:styleId="1210" w:customStyle="1">
    <w:name w:val="正文首行缩进 21"/>
    <w:basedOn w:val="1177"/>
    <w:link w:val="1211"/>
    <w:uiPriority w:val="0"/>
    <w:qFormat/>
    <w:pPr>
      <w:ind w:left="0" w:firstLine="420"/>
      <w:spacing w:after="0" w:line="360" w:lineRule="auto"/>
    </w:pPr>
    <w:rPr>
      <w:rFonts w:ascii="宋体" w:hAnsi="宋体"/>
      <w:sz w:val="20"/>
      <w:szCs w:val="20"/>
    </w:rPr>
  </w:style>
  <w:style w:type="character" w:styleId="1211" w:customStyle="1">
    <w:name w:val="正文首行缩进 2 字符"/>
    <w:link w:val="1210"/>
    <w:uiPriority w:val="0"/>
    <w:qFormat/>
    <w:rPr>
      <w:rFonts w:ascii="宋体" w:hAnsi="宋体" w:eastAsia="宋体" w:cs="Times New Roman"/>
      <w:szCs w:val="20"/>
    </w:rPr>
  </w:style>
  <w:style w:type="table" w:styleId="1212" w:customStyle="1">
    <w:name w:val="网格型1"/>
    <w:basedOn w:val="1168"/>
    <w:uiPriority w:val="0"/>
    <w:qFormat/>
    <w:pPr>
      <w:jc w:val="both"/>
      <w:widowControl w:val="off"/>
    </w:pPr>
    <w:rPr>
      <w:rFonts w:ascii="Times New Roman" w:hAnsi="Times New Roman" w:eastAsia="宋体" w:cs="Times New Roman"/>
      <w:sz w:val="20"/>
      <w:szCs w:val="20"/>
    </w:rPr>
    <w:tblPr/>
  </w:style>
  <w:style w:type="character" w:styleId="1213" w:customStyle="1">
    <w:name w:val="要点1"/>
    <w:link w:val="932"/>
    <w:uiPriority w:val="0"/>
    <w:qFormat/>
    <w:rPr>
      <w:b/>
      <w:bCs/>
    </w:rPr>
  </w:style>
  <w:style w:type="character" w:styleId="1214" w:customStyle="1">
    <w:name w:val="页码1"/>
    <w:link w:val="932"/>
    <w:uiPriority w:val="0"/>
    <w:qFormat/>
  </w:style>
  <w:style w:type="character" w:styleId="1215" w:customStyle="1">
    <w:name w:val="访问过的超链接"/>
    <w:link w:val="932"/>
    <w:uiPriority w:val="0"/>
    <w:qFormat/>
    <w:rPr>
      <w:color w:val="800080"/>
      <w:u w:val="single"/>
    </w:rPr>
  </w:style>
  <w:style w:type="character" w:styleId="1216" w:customStyle="1">
    <w:name w:val="超链接11"/>
    <w:link w:val="932"/>
    <w:uiPriority w:val="99"/>
    <w:qFormat/>
    <w:rPr>
      <w:color w:val="0000ff"/>
      <w:u w:val="single"/>
    </w:rPr>
  </w:style>
  <w:style w:type="character" w:styleId="1217" w:customStyle="1">
    <w:name w:val="批注引用1"/>
    <w:link w:val="932"/>
    <w:uiPriority w:val="0"/>
    <w:semiHidden/>
    <w:qFormat/>
    <w:rPr>
      <w:sz w:val="21"/>
      <w:szCs w:val="21"/>
    </w:rPr>
  </w:style>
  <w:style w:type="paragraph" w:styleId="1218" w:customStyle="1">
    <w:name w:val="段"/>
    <w:next w:val="932"/>
    <w:uiPriority w:val="0"/>
    <w:qFormat/>
    <w:pPr>
      <w:ind w:firstLine="200"/>
      <w:jc w:val="both"/>
    </w:pPr>
    <w:rPr>
      <w:rFonts w:hint="default" w:ascii="宋体" w:hAnsi="Times New Roman" w:eastAsia="Times New Roman" w:cs="Times New Roman"/>
      <w:sz w:val="21"/>
      <w:lang w:eastAsia="zh-CN"/>
    </w:rPr>
  </w:style>
  <w:style w:type="character" w:styleId="1219" w:customStyle="1">
    <w:name w:val="font5 Char"/>
    <w:link w:val="932"/>
    <w:uiPriority w:val="0"/>
    <w:qFormat/>
    <w:rPr>
      <w:rFonts w:ascii="宋体" w:hAnsi="宋体" w:eastAsia="宋体"/>
      <w:sz w:val="28"/>
      <w:szCs w:val="28"/>
      <w:lang w:val="en-US" w:eastAsia="zh-CN" w:bidi="ar-SA"/>
    </w:rPr>
  </w:style>
  <w:style w:type="character" w:styleId="1220" w:customStyle="1">
    <w:name w:val="二级目录 Char"/>
    <w:link w:val="1221"/>
    <w:uiPriority w:val="0"/>
    <w:qFormat/>
    <w:rPr>
      <w:b/>
      <w:sz w:val="30"/>
      <w:szCs w:val="28"/>
      <w:lang w:val="en-US" w:eastAsia="zh-CN" w:bidi="ar-SA"/>
    </w:rPr>
  </w:style>
  <w:style w:type="paragraph" w:styleId="1221" w:customStyle="1">
    <w:name w:val="二级目录"/>
    <w:next w:val="932"/>
    <w:link w:val="1220"/>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22" w:customStyle="1">
    <w:name w:val="列出段落 Char"/>
    <w:link w:val="1223"/>
    <w:uiPriority w:val="0"/>
    <w:qFormat/>
    <w:rPr>
      <w:rFonts w:ascii="Calibri" w:hAnsi="Calibri"/>
      <w:sz w:val="24"/>
      <w:szCs w:val="24"/>
      <w:lang w:eastAsia="en-US" w:bidi="en-US"/>
    </w:rPr>
  </w:style>
  <w:style w:type="paragraph" w:styleId="1223" w:customStyle="1">
    <w:name w:val="列出段落1"/>
    <w:basedOn w:val="932"/>
    <w:link w:val="1222"/>
    <w:uiPriority w:val="0"/>
    <w:qFormat/>
    <w:pPr>
      <w:contextualSpacing/>
      <w:ind w:left="720"/>
      <w:jc w:val="left"/>
      <w:widowControl/>
    </w:pPr>
    <w:rPr>
      <w:rFonts w:ascii="Calibri" w:hAnsi="Calibri"/>
      <w:sz w:val="24"/>
      <w:szCs w:val="24"/>
      <w:lang w:eastAsia="en-US" w:bidi="en-US"/>
    </w:rPr>
  </w:style>
  <w:style w:type="paragraph" w:styleId="1224" w:customStyle="1">
    <w:name w:val="Body Text(ch)"/>
    <w:basedOn w:val="932"/>
    <w:next w:val="1013"/>
    <w:uiPriority w:val="0"/>
    <w:qFormat/>
    <w:pPr>
      <w:spacing w:after="120"/>
    </w:pPr>
    <w:rPr>
      <w:rFonts w:ascii="宋体" w:hAnsi="Arial" w:eastAsia="宋体" w:cs="Times New Roman"/>
      <w:bCs/>
      <w:iCs/>
      <w:szCs w:val="24"/>
    </w:rPr>
  </w:style>
  <w:style w:type="paragraph" w:styleId="1225" w:customStyle="1">
    <w:name w:val="xl27"/>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6" w:customStyle="1">
    <w:name w:val="xl26"/>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7" w:customStyle="1">
    <w:name w:val="Char"/>
    <w:basedOn w:val="932"/>
    <w:uiPriority w:val="0"/>
    <w:qFormat/>
    <w:pPr>
      <w:ind w:firstLine="200"/>
      <w:tabs>
        <w:tab w:val="left" w:pos="360" w:leader="none"/>
      </w:tabs>
    </w:pPr>
    <w:rPr>
      <w:rFonts w:ascii="Times New Roman" w:hAnsi="Times New Roman" w:eastAsia="宋体" w:cs="Times New Roman"/>
      <w:sz w:val="28"/>
      <w:szCs w:val="30"/>
    </w:rPr>
  </w:style>
  <w:style w:type="paragraph" w:styleId="1228" w:customStyle="1">
    <w:name w:val=" Char"/>
    <w:basedOn w:val="1171"/>
    <w:uiPriority w:val="0"/>
    <w:qFormat/>
    <w:rPr>
      <w:rFonts w:ascii="Tahoma" w:hAnsi="Tahoma"/>
      <w:sz w:val="24"/>
      <w:szCs w:val="24"/>
    </w:rPr>
  </w:style>
  <w:style w:type="paragraph" w:styleId="1229" w:customStyle="1">
    <w:name w:val="普通正文"/>
    <w:basedOn w:val="932"/>
    <w:uiPriority w:val="0"/>
    <w:qFormat/>
    <w:pPr>
      <w:ind w:firstLine="480"/>
      <w:jc w:val="left"/>
      <w:spacing w:before="120" w:after="120" w:line="360" w:lineRule="auto"/>
    </w:pPr>
    <w:rPr>
      <w:rFonts w:ascii="Arial" w:hAnsi="Arial" w:eastAsia="宋体" w:cs="Times New Roman"/>
      <w:sz w:val="24"/>
      <w:szCs w:val="24"/>
    </w:rPr>
  </w:style>
  <w:style w:type="paragraph" w:styleId="1230" w:customStyle="1">
    <w:name w:val="table_lines"/>
    <w:basedOn w:val="932"/>
    <w:uiPriority w:val="0"/>
    <w:qFormat/>
    <w:pPr>
      <w:jc w:val="left"/>
      <w:widowControl/>
    </w:pPr>
    <w:rPr>
      <w:rFonts w:ascii="Times New Roman" w:hAnsi="Times New Roman" w:eastAsia="宋体" w:cs="Times New Roman"/>
      <w:sz w:val="20"/>
      <w:szCs w:val="20"/>
      <w:lang w:val="de-DE" w:eastAsia="de-DE"/>
    </w:rPr>
  </w:style>
  <w:style w:type="paragraph" w:styleId="123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32" w:customStyle="1">
    <w:name w:val="font7"/>
    <w:basedOn w:val="93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33" w:customStyle="1">
    <w:name w:val=" Char Char Char Char"/>
    <w:basedOn w:val="1171"/>
    <w:uiPriority w:val="0"/>
    <w:qFormat/>
    <w:pPr>
      <w:spacing w:line="360" w:lineRule="auto"/>
    </w:pPr>
    <w:rPr>
      <w:rFonts w:ascii="Tahoma" w:hAnsi="Tahoma"/>
      <w:sz w:val="24"/>
      <w:szCs w:val="24"/>
    </w:rPr>
  </w:style>
  <w:style w:type="paragraph" w:styleId="1234" w:customStyle="1">
    <w:name w:val="列出段落"/>
    <w:basedOn w:val="932"/>
    <w:uiPriority w:val="34"/>
    <w:qFormat/>
    <w:pPr>
      <w:contextualSpacing/>
      <w:ind w:left="720"/>
      <w:jc w:val="left"/>
      <w:widowControl/>
    </w:pPr>
    <w:rPr>
      <w:rFonts w:ascii="Calibri" w:hAnsi="Calibri" w:eastAsia="宋体" w:cs="Times New Roman"/>
      <w:sz w:val="24"/>
      <w:szCs w:val="24"/>
      <w:lang w:eastAsia="en-US" w:bidi="en-US"/>
    </w:rPr>
  </w:style>
  <w:style w:type="paragraph" w:styleId="1235" w:customStyle="1">
    <w:name w:val="4"/>
    <w:basedOn w:val="932"/>
    <w:next w:val="1199"/>
    <w:uiPriority w:val="0"/>
    <w:qFormat/>
    <w:pPr>
      <w:ind w:firstLine="420"/>
      <w:spacing w:line="360" w:lineRule="auto"/>
    </w:pPr>
    <w:rPr>
      <w:rFonts w:ascii="Times New Roman" w:hAnsi="Times New Roman" w:eastAsia="宋体" w:cs="Times New Roman"/>
      <w:color w:val="ff0000"/>
      <w:sz w:val="24"/>
      <w:szCs w:val="24"/>
    </w:rPr>
  </w:style>
  <w:style w:type="paragraph" w:styleId="1236" w:customStyle="1">
    <w:name w:val="普通 (Web)"/>
    <w:basedOn w:val="932"/>
    <w:uiPriority w:val="0"/>
    <w:qFormat/>
    <w:pPr>
      <w:jc w:val="left"/>
      <w:spacing w:before="100" w:beforeAutospacing="1" w:after="100" w:afterAutospacing="1"/>
      <w:widowControl/>
    </w:pPr>
    <w:rPr>
      <w:rFonts w:ascii="宋体" w:hAnsi="宋体" w:eastAsia="宋体" w:cs="Times New Roman"/>
      <w:sz w:val="24"/>
      <w:szCs w:val="24"/>
    </w:rPr>
  </w:style>
  <w:style w:type="paragraph" w:styleId="1237" w:customStyle="1">
    <w:name w:val=" Char Char Char Char Char Char Char Char Char Char"/>
    <w:basedOn w:val="932"/>
    <w:uiPriority w:val="0"/>
    <w:qFormat/>
    <w:pPr>
      <w:spacing w:line="360" w:lineRule="auto"/>
    </w:pPr>
    <w:rPr>
      <w:rFonts w:ascii="Times New Roman" w:hAnsi="Times New Roman" w:eastAsia="宋体" w:cs="Times New Roman"/>
      <w:sz w:val="24"/>
      <w:szCs w:val="20"/>
    </w:rPr>
  </w:style>
  <w:style w:type="paragraph" w:styleId="1238" w:customStyle="1">
    <w:name w:val="样式1"/>
    <w:basedOn w:val="932"/>
    <w:uiPriority w:val="0"/>
    <w:qFormat/>
    <w:pPr>
      <w:numPr>
        <w:ilvl w:val="0"/>
        <w:numId w:val="4"/>
      </w:numPr>
    </w:pPr>
    <w:rPr>
      <w:rFonts w:ascii="宋体" w:hAnsi="宋体" w:eastAsia="宋体" w:cs="Times New Roman"/>
      <w:szCs w:val="21"/>
    </w:rPr>
  </w:style>
  <w:style w:type="paragraph" w:styleId="1239" w:customStyle="1">
    <w:name w:val="font6"/>
    <w:basedOn w:val="93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40" w:customStyle="1">
    <w:name w:val="xl25"/>
    <w:basedOn w:val="9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1" w:customStyle="1">
    <w:name w:val="图标"/>
    <w:basedOn w:val="932"/>
    <w:next w:val="9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42" w:customStyle="1">
    <w:name w:val="标题3"/>
    <w:basedOn w:val="932"/>
    <w:next w:val="932"/>
    <w:uiPriority w:val="0"/>
    <w:qFormat/>
    <w:pPr>
      <w:ind w:firstLine="624"/>
      <w:spacing w:line="590" w:lineRule="atLeast"/>
    </w:pPr>
    <w:rPr>
      <w:rFonts w:ascii="方正黑体_GBK" w:hAnsi="Times New Roman" w:eastAsia="方正黑体_GBK" w:cs="Times New Roman"/>
      <w:sz w:val="32"/>
      <w:szCs w:val="32"/>
    </w:rPr>
  </w:style>
  <w:style w:type="paragraph" w:styleId="1243" w:customStyle="1">
    <w:name w:val="xl24"/>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4" w:customStyle="1">
    <w:name w:val="xl29"/>
    <w:basedOn w:val="93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5" w:customStyle="1">
    <w:name w:val="Char Char Char Char Char Char Char Char"/>
    <w:basedOn w:val="932"/>
    <w:uiPriority w:val="0"/>
    <w:qFormat/>
    <w:pPr>
      <w:jc w:val="left"/>
      <w:spacing w:after="160" w:line="240" w:lineRule="exact"/>
      <w:widowControl/>
    </w:pPr>
    <w:rPr>
      <w:rFonts w:ascii="Verdana" w:hAnsi="Verdana" w:eastAsia="宋体" w:cs="Times New Roman"/>
      <w:sz w:val="20"/>
      <w:szCs w:val="20"/>
      <w:lang w:eastAsia="en-US"/>
    </w:rPr>
  </w:style>
  <w:style w:type="paragraph" w:styleId="1246" w:customStyle="1">
    <w:name w:val="xl28"/>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47" w:customStyle="1">
    <w:name w:val=" Char Char Char Char Char Char Char Char"/>
    <w:basedOn w:val="932"/>
    <w:uiPriority w:val="0"/>
    <w:qFormat/>
    <w:pPr>
      <w:jc w:val="left"/>
      <w:spacing w:after="160" w:line="240" w:lineRule="exact"/>
      <w:widowControl/>
    </w:pPr>
    <w:rPr>
      <w:rFonts w:ascii="Verdana" w:hAnsi="Verdana" w:eastAsia="宋体" w:cs="Times New Roman"/>
      <w:sz w:val="20"/>
      <w:szCs w:val="20"/>
      <w:lang w:eastAsia="en-US"/>
    </w:rPr>
  </w:style>
  <w:style w:type="paragraph" w:styleId="1248" w:customStyle="1">
    <w:name w:val="xl30"/>
    <w:basedOn w:val="93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49" w:customStyle="1">
    <w:name w:val="Char Char Char Char"/>
    <w:basedOn w:val="1171"/>
    <w:uiPriority w:val="0"/>
    <w:qFormat/>
    <w:pPr>
      <w:spacing w:line="360" w:lineRule="auto"/>
    </w:pPr>
    <w:rPr>
      <w:rFonts w:ascii="Tahoma" w:hAnsi="Tahoma"/>
      <w:sz w:val="24"/>
      <w:szCs w:val="24"/>
    </w:rPr>
  </w:style>
  <w:style w:type="paragraph" w:styleId="1250" w:customStyle="1">
    <w:name w:val="table_1stline"/>
    <w:basedOn w:val="932"/>
    <w:uiPriority w:val="0"/>
    <w:qFormat/>
    <w:pPr>
      <w:jc w:val="left"/>
      <w:spacing w:before="120"/>
      <w:widowControl/>
    </w:pPr>
    <w:rPr>
      <w:rFonts w:ascii="Times New Roman" w:hAnsi="Times New Roman" w:eastAsia="宋体" w:cs="Times New Roman"/>
      <w:bCs/>
      <w:sz w:val="20"/>
      <w:szCs w:val="20"/>
      <w:lang w:val="de-DE" w:eastAsia="de-DE"/>
    </w:rPr>
  </w:style>
  <w:style w:type="paragraph" w:styleId="1251" w:customStyle="1">
    <w:name w:val="font5"/>
    <w:basedOn w:val="93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52" w:customStyle="1">
    <w:name w:val="标题1"/>
    <w:basedOn w:val="932"/>
    <w:next w:val="93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3" w:customStyle="1">
    <w:name w:val="修订"/>
    <w:uiPriority w:val="99"/>
    <w:semiHidden/>
    <w:qFormat/>
    <w:rPr>
      <w:rFonts w:hint="default" w:ascii="Times New Roman" w:hAnsi="Times New Roman" w:eastAsia="宋体" w:cs="Times New Roman"/>
      <w:sz w:val="21"/>
      <w:szCs w:val="21"/>
      <w:lang w:eastAsia="zh-CN"/>
    </w:rPr>
  </w:style>
  <w:style w:type="paragraph" w:styleId="1254"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55" w:customStyle="1">
    <w:name w:val="引文目录标题1"/>
    <w:basedOn w:val="932"/>
    <w:next w:val="932"/>
    <w:uiPriority w:val="0"/>
    <w:qFormat/>
    <w:pPr>
      <w:spacing w:before="120"/>
    </w:pPr>
    <w:rPr>
      <w:rFonts w:ascii="Arial" w:hAnsi="Arial"/>
      <w:sz w:val="24"/>
    </w:rPr>
  </w:style>
  <w:style w:type="character" w:styleId="1256" w:customStyle="1">
    <w:name w:val="超链接1"/>
    <w:link w:val="932"/>
    <w:uiPriority w:val="0"/>
    <w:qFormat/>
    <w:rPr>
      <w:rFonts w:ascii="Times New Roman" w:hAnsi="Times New Roman" w:eastAsia="宋体" w:cs="Times New Roman"/>
      <w:sz w:val="21"/>
      <w:szCs w:val="24"/>
      <w:lang w:val="en-US" w:eastAsia="zh-CN" w:bidi="ar-SA"/>
    </w:rPr>
  </w:style>
  <w:style w:type="paragraph" w:styleId="1257" w:customStyle="1">
    <w:name w:val="正文首行缩进1"/>
    <w:basedOn w:val="996"/>
    <w:uiPriority w:val="0"/>
    <w:qFormat/>
    <w:pPr>
      <w:ind w:firstLine="200"/>
      <w:spacing w:line="360" w:lineRule="auto"/>
    </w:pPr>
    <w:rPr>
      <w:rFonts w:ascii="仿宋_GB2312" w:hAnsi="Times New Roman" w:eastAsia="仿宋_GB2312"/>
      <w:sz w:val="30"/>
      <w:szCs w:val="30"/>
    </w:rPr>
  </w:style>
  <w:style w:type="paragraph" w:styleId="1258" w:customStyle="1">
    <w:name w:val="正文缩进2格"/>
    <w:basedOn w:val="932"/>
    <w:uiPriority w:val="0"/>
    <w:qFormat/>
    <w:pPr>
      <w:ind w:firstLine="639"/>
      <w:spacing w:line="600" w:lineRule="exact"/>
    </w:pPr>
    <w:rPr>
      <w:rFonts w:ascii="仿宋_GB2312" w:hAnsi="宋体" w:eastAsia="仿宋_GB2312"/>
      <w:sz w:val="31"/>
      <w:szCs w:val="28"/>
      <w:lang w:eastAsia="en-US"/>
    </w:rPr>
  </w:style>
  <w:style w:type="paragraph" w:styleId="1259"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60" w:customStyle="1">
    <w:name w:val="普通(网站) Char"/>
    <w:basedOn w:val="932"/>
    <w:uiPriority w:val="0"/>
    <w:qFormat/>
    <w:pPr>
      <w:spacing w:before="100" w:beforeAutospacing="1" w:after="100" w:afterAutospacing="1"/>
    </w:pPr>
    <w:rPr>
      <w:rFonts w:ascii="宋体" w:hAnsi="宋体" w:cs="宋体"/>
      <w:sz w:val="24"/>
    </w:rPr>
  </w:style>
  <w:style w:type="paragraph" w:styleId="1261" w:customStyle="1">
    <w:name w:val="正文首行缩进111"/>
    <w:basedOn w:val="1262"/>
    <w:uiPriority w:val="0"/>
    <w:qFormat/>
    <w:pPr>
      <w:ind w:firstLine="200"/>
      <w:spacing w:line="360" w:lineRule="auto"/>
    </w:pPr>
    <w:rPr>
      <w:rFonts w:ascii="仿宋_GB2312" w:hAnsi="Times New Roman" w:eastAsia="仿宋_GB2312"/>
      <w:sz w:val="30"/>
      <w:szCs w:val="30"/>
    </w:rPr>
  </w:style>
  <w:style w:type="paragraph" w:styleId="1262" w:customStyle="1">
    <w:name w:val="正文文本111"/>
    <w:basedOn w:val="932"/>
    <w:next w:val="932"/>
    <w:uiPriority w:val="0"/>
    <w:qFormat/>
    <w:rPr>
      <w:rFonts w:ascii="楷体_GB2312" w:hAnsi="Arial" w:eastAsia="楷体_GB2312"/>
      <w:sz w:val="28"/>
      <w:szCs w:val="28"/>
    </w:rPr>
  </w:style>
  <w:style w:type="paragraph" w:styleId="1263" w:customStyle="1">
    <w:name w:val="正文首行缩进12"/>
    <w:basedOn w:val="1264"/>
    <w:uiPriority w:val="0"/>
    <w:qFormat/>
    <w:pPr>
      <w:ind w:firstLine="200"/>
      <w:spacing w:line="360" w:lineRule="auto"/>
    </w:pPr>
    <w:rPr>
      <w:rFonts w:ascii="仿宋_GB2312" w:hAnsi="Times New Roman" w:eastAsia="仿宋_GB2312"/>
      <w:sz w:val="30"/>
      <w:szCs w:val="30"/>
    </w:rPr>
  </w:style>
  <w:style w:type="paragraph" w:styleId="1264" w:customStyle="1">
    <w:name w:val="正文文本12"/>
    <w:basedOn w:val="932"/>
    <w:uiPriority w:val="0"/>
    <w:qFormat/>
    <w:rPr>
      <w:rFonts w:ascii="楷体_GB2312" w:hAnsi="Arial" w:eastAsia="楷体_GB2312"/>
      <w:sz w:val="28"/>
      <w:szCs w:val="28"/>
    </w:rPr>
  </w:style>
  <w:style w:type="character" w:styleId="1265" w:customStyle="1">
    <w:name w:val="font21"/>
    <w:basedOn w:val="966"/>
    <w:link w:val="932"/>
    <w:uiPriority w:val="0"/>
    <w:qFormat/>
    <w:rPr>
      <w:rFonts w:hint="eastAsia" w:ascii="宋体" w:hAnsi="宋体" w:eastAsia="宋体" w:cs="宋体"/>
      <w:color w:val="000000"/>
      <w:sz w:val="22"/>
      <w:szCs w:val="22"/>
      <w:u w:val="none"/>
    </w:rPr>
  </w:style>
  <w:style w:type="paragraph" w:styleId="1266" w:customStyle="1">
    <w:name w:val="方案正文"/>
    <w:basedOn w:val="932"/>
    <w:uiPriority w:val="0"/>
    <w:qFormat/>
    <w:pPr>
      <w:contextualSpacing/>
      <w:ind w:firstLine="200"/>
      <w:jc w:val="left"/>
      <w:widowControl/>
    </w:pPr>
    <w:rPr>
      <w:rFonts w:eastAsia="宋体"/>
    </w:rPr>
  </w:style>
  <w:style w:type="numbering" w:styleId="12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6</cp:revision>
  <dcterms:created xsi:type="dcterms:W3CDTF">2024-07-09T03:08:00Z</dcterms:created>
  <dcterms:modified xsi:type="dcterms:W3CDTF">2025-12-01T02:34:41Z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eyJoZGlkIjoiOTc0NGQ0Mzc4ZDQxZTM5YTgzZDkxZDU2NDg1YTUwZGIiLCJ1c2VySWQiOiIxNjU1OTQ5OTg4In0=</vt:lpwstr>
  </property>
  <property fmtid="{D5CDD505-2E9C-101B-9397-08002B2CF9AE}" pid="3" name="KSOProductBuildVer">
    <vt:lpwstr>2052-12.1.0.23125</vt:lpwstr>
  </property>
  <property fmtid="{D5CDD505-2E9C-101B-9397-08002B2CF9AE}" pid="4" name="ICV">
    <vt:lpwstr>65177199D60C48FBBD7086F238E84BA4_13</vt:lpwstr>
  </property>
</Properties>
</file>